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666E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16" w:type="dxa"/>
          </w:tcPr>
          <w:p w14:paraId="08ACC0D5">
            <w:pPr>
              <w:spacing w:line="276" w:lineRule="auto"/>
              <w:ind w:right="1541"/>
              <w:jc w:val="both"/>
              <w:rPr>
                <w:rFonts w:hint="default" w:ascii="Times New Roman" w:hAnsi="Times New Roman" w:cs="Times New Roman"/>
                <w:b/>
                <w:sz w:val="24"/>
                <w:szCs w:val="24"/>
                <w:lang w:val="en-US"/>
              </w:rPr>
            </w:pPr>
            <w:r>
              <w:rPr>
                <w:rFonts w:hint="default" w:ascii="Times New Roman" w:hAnsi="Times New Roman" w:cs="Times New Roman"/>
                <w:b/>
                <w:bCs/>
                <w:sz w:val="24"/>
                <w:szCs w:val="24"/>
              </w:rPr>
              <w:drawing>
                <wp:anchor distT="0" distB="0" distL="114300" distR="114300" simplePos="0" relativeHeight="251662336" behindDoc="0" locked="0" layoutInCell="1" allowOverlap="1">
                  <wp:simplePos x="0" y="0"/>
                  <wp:positionH relativeFrom="margin">
                    <wp:posOffset>4679950</wp:posOffset>
                  </wp:positionH>
                  <wp:positionV relativeFrom="margin">
                    <wp:posOffset>1270</wp:posOffset>
                  </wp:positionV>
                  <wp:extent cx="970280" cy="789305"/>
                  <wp:effectExtent l="0" t="0" r="0" b="0"/>
                  <wp:wrapSquare wrapText="bothSides"/>
                  <wp:docPr id="3" name="Picture 2" descr="images"/>
                  <wp:cNvGraphicFramePr/>
                  <a:graphic xmlns:a="http://schemas.openxmlformats.org/drawingml/2006/main">
                    <a:graphicData uri="http://schemas.openxmlformats.org/drawingml/2006/picture">
                      <pic:pic xmlns:pic="http://schemas.openxmlformats.org/drawingml/2006/picture">
                        <pic:nvPicPr>
                          <pic:cNvPr id="3" name="Picture 2" descr="images"/>
                          <pic:cNvPicPr/>
                        </pic:nvPicPr>
                        <pic:blipFill>
                          <a:blip r:embed="rId12" cstate="print"/>
                          <a:srcRect/>
                          <a:stretch>
                            <a:fillRect/>
                          </a:stretch>
                        </pic:blipFill>
                        <pic:spPr>
                          <a:xfrm>
                            <a:off x="0" y="0"/>
                            <a:ext cx="970280" cy="789305"/>
                          </a:xfrm>
                          <a:prstGeom prst="rect">
                            <a:avLst/>
                          </a:prstGeom>
                          <a:ln>
                            <a:noFill/>
                          </a:ln>
                        </pic:spPr>
                      </pic:pic>
                    </a:graphicData>
                  </a:graphic>
                </wp:anchor>
              </w:drawing>
            </w:r>
            <w:bookmarkStart w:id="0" w:name="_heading=h.gjdgxs" w:colFirst="0" w:colLast="0"/>
            <w:bookmarkEnd w:id="0"/>
            <w:r>
              <w:rPr>
                <w:rFonts w:hint="default" w:ascii="Times New Roman" w:hAnsi="Times New Roman" w:cs="Times New Roman"/>
                <w:b/>
                <w:bCs/>
                <w:sz w:val="24"/>
                <w:szCs w:val="24"/>
                <w:lang w:val="en-US"/>
              </w:rPr>
              <w:t>Evaluasi Kebijakan Universal Health Coverage (UHC) di Pulau Bawean Kabupaten Gresik</w:t>
            </w:r>
          </w:p>
        </w:tc>
      </w:tr>
    </w:tbl>
    <w:p w14:paraId="5CDEB55B">
      <w:pPr>
        <w:rPr>
          <w:rFonts w:hint="default" w:ascii="Times New Roman" w:hAnsi="Times New Roman" w:cs="Times New Roman"/>
          <w:b/>
          <w:sz w:val="24"/>
          <w:szCs w:val="24"/>
          <w:vertAlign w:val="superscript"/>
        </w:rPr>
      </w:pPr>
    </w:p>
    <w:p w14:paraId="59533870">
      <w:pPr>
        <w:jc w:val="both"/>
        <w:rPr>
          <w:rFonts w:hint="default" w:ascii="Times New Roman" w:hAnsi="Times New Roman" w:cs="Times New Roman"/>
          <w:b/>
          <w:bCs/>
          <w:sz w:val="24"/>
          <w:szCs w:val="24"/>
          <w:lang w:val="en-US"/>
        </w:rPr>
      </w:pPr>
      <w:r>
        <w:rPr>
          <w:rFonts w:hint="default" w:ascii="Times New Roman" w:hAnsi="Times New Roman" w:cs="Times New Roman"/>
          <w:b/>
          <w:sz w:val="24"/>
          <w:szCs w:val="24"/>
          <w:vertAlign w:val="baseline"/>
          <w:lang w:val="en-US"/>
        </w:rPr>
        <w:t>Shofia Aldana</w:t>
      </w:r>
      <w:r>
        <w:rPr>
          <w:rFonts w:hint="default" w:ascii="Times New Roman" w:hAnsi="Times New Roman" w:cs="Times New Roman"/>
          <w:b/>
          <w:sz w:val="24"/>
          <w:szCs w:val="24"/>
          <w:vertAlign w:val="superscript"/>
        </w:rPr>
        <w:t>1</w:t>
      </w:r>
      <w:r>
        <w:rPr>
          <w:rFonts w:hint="default" w:ascii="Times New Roman" w:hAnsi="Times New Roman" w:cs="Times New Roman"/>
          <w:b/>
          <w:sz w:val="24"/>
          <w:szCs w:val="24"/>
        </w:rPr>
        <w:t>*,</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vertAlign w:val="baseline"/>
          <w:lang w:val="en-US"/>
        </w:rPr>
        <w:t>Sri Wibawani</w:t>
      </w:r>
      <w:r>
        <w:rPr>
          <w:rFonts w:hint="default" w:ascii="Times New Roman" w:hAnsi="Times New Roman" w:cs="Times New Roman"/>
          <w:b/>
          <w:sz w:val="24"/>
          <w:szCs w:val="24"/>
          <w:vertAlign w:val="superscript"/>
          <w:lang w:val="en-US"/>
        </w:rPr>
        <w:t>2</w:t>
      </w:r>
      <w:r>
        <w:rPr>
          <w:rFonts w:hint="default" w:ascii="Times New Roman" w:hAnsi="Times New Roman" w:cs="Times New Roman"/>
          <w:b/>
          <w:sz w:val="24"/>
          <w:szCs w:val="24"/>
        </w:rPr>
        <w:t>*</w:t>
      </w:r>
    </w:p>
    <w:p w14:paraId="1B18BC8D">
      <w:pPr>
        <w:spacing w:line="276" w:lineRule="auto"/>
        <w:ind w:left="426" w:hanging="426"/>
        <w:rPr>
          <w:rFonts w:hint="default" w:ascii="Times New Roman" w:hAnsi="Times New Roman" w:cs="Times New Roman"/>
          <w:color w:val="000000" w:themeColor="text1"/>
          <w:sz w:val="24"/>
          <w:szCs w:val="24"/>
          <w:vertAlign w:val="superscript"/>
          <w14:textFill>
            <w14:solidFill>
              <w14:schemeClr w14:val="tx1"/>
            </w14:solidFill>
          </w14:textFill>
        </w:rPr>
      </w:pPr>
      <w:r>
        <w:rPr>
          <w:rFonts w:hint="default" w:ascii="Times New Roman" w:hAnsi="Times New Roman" w:cs="Times New Roman"/>
          <w:color w:val="000000" w:themeColor="text1"/>
          <w:sz w:val="24"/>
          <w:szCs w:val="24"/>
          <w:vertAlign w:val="superscript"/>
          <w:lang w:val="sv-SE"/>
          <w14:textFill>
            <w14:solidFill>
              <w14:schemeClr w14:val="tx1"/>
            </w14:solidFill>
          </w14:textFill>
        </w:rPr>
        <w:t xml:space="preserve">12   </w:t>
      </w:r>
      <w:r>
        <w:rPr>
          <w:rFonts w:hint="default" w:ascii="Times New Roman" w:hAnsi="Times New Roman" w:cs="Times New Roman"/>
          <w:spacing w:val="-1"/>
          <w:sz w:val="24"/>
          <w:szCs w:val="24"/>
        </w:rPr>
        <w:t>Universitas</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Pembangunan</w:t>
      </w:r>
      <w:r>
        <w:rPr>
          <w:rFonts w:hint="default" w:ascii="Times New Roman" w:hAnsi="Times New Roman" w:cs="Times New Roman"/>
          <w:spacing w:val="-5"/>
          <w:sz w:val="24"/>
          <w:szCs w:val="24"/>
        </w:rPr>
        <w:t xml:space="preserve"> </w:t>
      </w:r>
      <w:r>
        <w:rPr>
          <w:rFonts w:hint="default" w:ascii="Times New Roman" w:hAnsi="Times New Roman" w:cs="Times New Roman"/>
          <w:spacing w:val="-1"/>
          <w:sz w:val="24"/>
          <w:szCs w:val="24"/>
        </w:rPr>
        <w:t xml:space="preserve">Nasional </w:t>
      </w:r>
      <w:r>
        <w:rPr>
          <w:rFonts w:hint="default" w:ascii="Times New Roman" w:hAnsi="Times New Roman" w:cs="Times New Roman"/>
          <w:sz w:val="24"/>
          <w:szCs w:val="24"/>
        </w:rPr>
        <w:t>“Veteran”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Jawa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Timur,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Surabaya</w:t>
      </w:r>
      <w:r>
        <w:rPr>
          <w:rFonts w:hint="default" w:ascii="Times New Roman" w:hAnsi="Times New Roman" w:cs="Times New Roman"/>
          <w:color w:val="000000" w:themeColor="text1"/>
          <w:sz w:val="24"/>
          <w:szCs w:val="24"/>
          <w:vertAlign w:val="superscript"/>
          <w14:textFill>
            <w14:solidFill>
              <w14:schemeClr w14:val="tx1"/>
            </w14:solidFill>
          </w14:textFill>
        </w:rPr>
        <w:t xml:space="preserve"> </w:t>
      </w:r>
    </w:p>
    <w:p w14:paraId="5E10D80D">
      <w:pPr>
        <w:spacing w:line="276" w:lineRule="auto"/>
        <w:ind w:left="426" w:hanging="426"/>
        <w:rPr>
          <w:rFonts w:hint="default" w:ascii="Times New Roman" w:hAnsi="Times New Roman" w:cs="Times New Roman"/>
          <w:spacing w:val="1"/>
          <w:sz w:val="24"/>
          <w:szCs w:val="24"/>
        </w:rPr>
      </w:pPr>
      <w:r>
        <w:rPr>
          <w:rFonts w:hint="default" w:ascii="Times New Roman" w:hAnsi="Times New Roman" w:cs="Times New Roman"/>
          <w:color w:val="000000" w:themeColor="text1"/>
          <w:sz w:val="24"/>
          <w:szCs w:val="24"/>
          <w:vertAlign w:val="superscript"/>
          <w14:textFill>
            <w14:solidFill>
              <w14:schemeClr w14:val="tx1"/>
            </w14:solidFill>
          </w14:textFill>
        </w:rPr>
        <w:t>12</w:t>
      </w:r>
      <w:r>
        <w:rPr>
          <w:rFonts w:hint="default" w:ascii="Times New Roman" w:hAnsi="Times New Roman" w:cs="Times New Roman"/>
          <w:color w:val="000000" w:themeColor="text1"/>
          <w:sz w:val="24"/>
          <w:szCs w:val="24"/>
          <w:vertAlign w:val="superscript"/>
          <w:lang w:val="en-US"/>
          <w14:textFill>
            <w14:solidFill>
              <w14:schemeClr w14:val="tx1"/>
            </w14:solidFill>
          </w14:textFill>
        </w:rPr>
        <w:t xml:space="preserve">   </w:t>
      </w:r>
      <w:r>
        <w:rPr>
          <w:rFonts w:hint="default" w:ascii="Times New Roman" w:hAnsi="Times New Roman" w:cs="Times New Roman"/>
          <w:color w:val="1F2023"/>
          <w:spacing w:val="-1"/>
          <w:sz w:val="24"/>
          <w:szCs w:val="24"/>
        </w:rPr>
        <w:t>Jl.</w:t>
      </w:r>
      <w:r>
        <w:rPr>
          <w:rFonts w:hint="default" w:ascii="Times New Roman" w:hAnsi="Times New Roman" w:cs="Times New Roman"/>
          <w:color w:val="1F2023"/>
          <w:spacing w:val="4"/>
          <w:sz w:val="24"/>
          <w:szCs w:val="24"/>
        </w:rPr>
        <w:t xml:space="preserve"> </w:t>
      </w:r>
      <w:r>
        <w:rPr>
          <w:rFonts w:hint="default" w:ascii="Times New Roman" w:hAnsi="Times New Roman" w:cs="Times New Roman"/>
          <w:spacing w:val="-1"/>
          <w:sz w:val="24"/>
          <w:szCs w:val="24"/>
        </w:rPr>
        <w:t>Raya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Rungkut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Madya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Surabaya</w:t>
      </w:r>
      <w:r>
        <w:rPr>
          <w:rFonts w:hint="default" w:ascii="Times New Roman" w:hAnsi="Times New Roman" w:cs="Times New Roman"/>
          <w:spacing w:val="1"/>
          <w:sz w:val="24"/>
          <w:szCs w:val="24"/>
        </w:rPr>
        <w:t xml:space="preserve"> </w:t>
      </w:r>
    </w:p>
    <w:p w14:paraId="151028AD">
      <w:pPr>
        <w:rPr>
          <w:rFonts w:hint="default" w:ascii="Times New Roman" w:hAnsi="Times New Roman" w:cs="Times New Roman"/>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 xml:space="preserve">     20041010152@student.upnjatim.ac.id</w:t>
      </w:r>
      <w:r>
        <w:rPr>
          <w:rFonts w:hint="default" w:ascii="Times New Roman" w:hAnsi="Times New Roman" w:cs="Times New Roman"/>
          <w:color w:val="000000" w:themeColor="text1"/>
          <w:sz w:val="24"/>
          <w:szCs w:val="24"/>
          <w:vertAlign w:val="superscript"/>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val="0"/>
          <w:iCs/>
          <w:sz w:val="24"/>
          <w:szCs w:val="24"/>
          <w:lang w:val="id-ID" w:eastAsia="en-GB"/>
        </w:rPr>
        <w:t>sri_wibawani.adneg@upnjatim.ac.id</w:t>
      </w:r>
      <w:r>
        <w:rPr>
          <w:rFonts w:hint="default" w:ascii="Times New Roman" w:hAnsi="Times New Roman" w:cs="Times New Roman"/>
          <w:color w:val="000000" w:themeColor="text1"/>
          <w:sz w:val="24"/>
          <w:szCs w:val="24"/>
          <w:vertAlign w:val="superscript"/>
          <w:lang w:val="en-US"/>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 xml:space="preserve">;            </w:t>
      </w:r>
    </w:p>
    <w:p w14:paraId="563F34D6">
      <w:pPr>
        <w:spacing w:line="276"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Corresponding Author: </w:t>
      </w:r>
      <w:r>
        <w:rPr>
          <w:rFonts w:hint="default" w:ascii="Times New Roman" w:hAnsi="Times New Roman" w:cs="Times New Roman"/>
          <w:color w:val="000000" w:themeColor="text1"/>
          <w:sz w:val="24"/>
          <w:szCs w:val="24"/>
          <w:lang w:val="en-US"/>
          <w14:textFill>
            <w14:solidFill>
              <w14:schemeClr w14:val="tx1"/>
            </w14:solidFill>
          </w14:textFill>
        </w:rPr>
        <w:t>20041010152@student.upnjatim.ac.id</w:t>
      </w:r>
      <w:r>
        <w:rPr>
          <w:rFonts w:hint="default" w:ascii="Times New Roman" w:hAnsi="Times New Roman" w:cs="Times New Roman"/>
          <w:color w:val="000000" w:themeColor="text1"/>
          <w:sz w:val="24"/>
          <w:szCs w:val="24"/>
          <w:vertAlign w:val="superscript"/>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w:t>
      </w:r>
    </w:p>
    <w:p w14:paraId="305E7B44">
      <w:pPr>
        <w:rPr>
          <w:rFonts w:hint="default" w:ascii="Times New Roman" w:hAnsi="Times New Roman" w:cs="Times New Roman"/>
          <w:color w:val="000000" w:themeColor="text1"/>
          <w:sz w:val="24"/>
          <w:szCs w:val="24"/>
          <w14:textFill>
            <w14:solidFill>
              <w14:schemeClr w14:val="tx1"/>
            </w14:solidFill>
          </w14:textFill>
        </w:rPr>
      </w:pPr>
    </w:p>
    <w:tbl>
      <w:tblPr>
        <w:tblStyle w:val="2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84"/>
        <w:gridCol w:w="6469"/>
      </w:tblGrid>
      <w:tr w14:paraId="0639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1" w:type="dxa"/>
            <w:gridSpan w:val="3"/>
            <w:tcBorders>
              <w:bottom w:val="single" w:color="auto" w:sz="4" w:space="0"/>
            </w:tcBorders>
          </w:tcPr>
          <w:p w14:paraId="7332FDA2">
            <w:pPr>
              <w:pStyle w:val="38"/>
              <w:rPr>
                <w:rFonts w:hint="default" w:ascii="Times New Roman" w:hAnsi="Times New Roman" w:cs="Times New Roman"/>
                <w:sz w:val="24"/>
                <w:szCs w:val="24"/>
              </w:rPr>
            </w:pPr>
            <w:r>
              <w:rPr>
                <w:rFonts w:hint="default" w:ascii="Times New Roman" w:hAnsi="Times New Roman" w:cs="Times New Roman"/>
                <w:sz w:val="24"/>
                <w:szCs w:val="24"/>
              </w:rPr>
              <w:t>ARTICLE INFORMATION</w:t>
            </w:r>
          </w:p>
        </w:tc>
      </w:tr>
      <w:tr w14:paraId="4C04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right w:val="single" w:color="auto" w:sz="4" w:space="0"/>
            </w:tcBorders>
          </w:tcPr>
          <w:p w14:paraId="0AD8D267">
            <w:pPr>
              <w:pStyle w:val="39"/>
              <w:spacing w:line="240" w:lineRule="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Keywords</w:t>
            </w:r>
          </w:p>
          <w:p w14:paraId="025CD948">
            <w:pPr>
              <w:adjustRightInd w:val="0"/>
              <w:snapToGrid w:val="0"/>
              <w:jc w:val="left"/>
              <w:rPr>
                <w:rFonts w:hint="default" w:ascii="Times New Roman" w:hAnsi="Times New Roman" w:cs="Times New Roman"/>
                <w:bCs/>
                <w:sz w:val="24"/>
                <w:szCs w:val="24"/>
                <w:lang w:val="en-US" w:eastAsia="en-GB"/>
              </w:rPr>
            </w:pPr>
            <w:r>
              <w:rPr>
                <w:rFonts w:hint="default" w:ascii="Times New Roman" w:hAnsi="Times New Roman" w:cs="Times New Roman"/>
                <w:bCs/>
                <w:sz w:val="24"/>
                <w:szCs w:val="24"/>
                <w:lang w:val="en-US" w:eastAsia="en-GB"/>
              </w:rPr>
              <w:t>Universal Health Coverage;</w:t>
            </w:r>
          </w:p>
          <w:p w14:paraId="5A468B4D">
            <w:pPr>
              <w:adjustRightInd w:val="0"/>
              <w:snapToGrid w:val="0"/>
              <w:jc w:val="left"/>
              <w:rPr>
                <w:rFonts w:hint="default" w:ascii="Times New Roman" w:hAnsi="Times New Roman" w:cs="Times New Roman"/>
                <w:bCs/>
                <w:sz w:val="24"/>
                <w:szCs w:val="24"/>
                <w:lang w:val="en-US" w:eastAsia="en-GB"/>
              </w:rPr>
            </w:pPr>
            <w:r>
              <w:rPr>
                <w:rFonts w:hint="default" w:ascii="Times New Roman" w:hAnsi="Times New Roman" w:cs="Times New Roman"/>
                <w:bCs/>
                <w:sz w:val="24"/>
                <w:szCs w:val="24"/>
                <w:lang w:val="en-US" w:eastAsia="en-GB"/>
              </w:rPr>
              <w:t>National Health Insurance;</w:t>
            </w:r>
          </w:p>
          <w:p w14:paraId="58296E12">
            <w:pPr>
              <w:adjustRightInd w:val="0"/>
              <w:snapToGrid w:val="0"/>
              <w:jc w:val="left"/>
              <w:rPr>
                <w:rFonts w:hint="default" w:ascii="Times New Roman" w:hAnsi="Times New Roman" w:cs="Times New Roman"/>
                <w:bCs/>
                <w:sz w:val="24"/>
                <w:szCs w:val="24"/>
                <w:lang w:val="en-US" w:eastAsia="en-GB"/>
              </w:rPr>
            </w:pPr>
            <w:r>
              <w:rPr>
                <w:rFonts w:hint="default" w:ascii="Times New Roman" w:hAnsi="Times New Roman" w:cs="Times New Roman"/>
                <w:bCs/>
                <w:sz w:val="24"/>
                <w:szCs w:val="24"/>
                <w:lang w:val="en-US" w:eastAsia="en-GB"/>
              </w:rPr>
              <w:t>Evaluation;</w:t>
            </w:r>
          </w:p>
          <w:p w14:paraId="3A32DD51">
            <w:pPr>
              <w:adjustRightInd w:val="0"/>
              <w:snapToGrid w:val="0"/>
              <w:jc w:val="left"/>
              <w:rPr>
                <w:rFonts w:hint="default" w:ascii="Times New Roman" w:hAnsi="Times New Roman" w:cs="Times New Roman"/>
                <w:bCs/>
                <w:sz w:val="24"/>
                <w:szCs w:val="24"/>
                <w:lang w:val="en-US" w:eastAsia="en-GB"/>
              </w:rPr>
            </w:pPr>
            <w:r>
              <w:rPr>
                <w:rFonts w:hint="default" w:ascii="Times New Roman" w:hAnsi="Times New Roman" w:cs="Times New Roman"/>
                <w:bCs/>
                <w:sz w:val="24"/>
                <w:szCs w:val="24"/>
                <w:lang w:val="en-US" w:eastAsia="en-GB"/>
              </w:rPr>
              <w:t>Bawean Island.</w:t>
            </w:r>
          </w:p>
          <w:p w14:paraId="551F47D4">
            <w:pPr>
              <w:rPr>
                <w:rFonts w:hint="default" w:ascii="Times New Roman" w:hAnsi="Times New Roman" w:cs="Times New Roman"/>
                <w:i/>
                <w:iCs/>
                <w:sz w:val="24"/>
                <w:szCs w:val="24"/>
                <w:lang w:val="en-US"/>
              </w:rPr>
            </w:pPr>
          </w:p>
        </w:tc>
        <w:tc>
          <w:tcPr>
            <w:tcW w:w="284" w:type="dxa"/>
            <w:tcBorders>
              <w:top w:val="single" w:color="auto" w:sz="4" w:space="0"/>
              <w:left w:val="single" w:color="auto" w:sz="4" w:space="0"/>
              <w:bottom w:val="single" w:color="auto" w:sz="4" w:space="0"/>
              <w:right w:val="single" w:color="auto" w:sz="4" w:space="0"/>
            </w:tcBorders>
          </w:tcPr>
          <w:p w14:paraId="38F13BC6">
            <w:pPr>
              <w:rPr>
                <w:rFonts w:hint="default" w:ascii="Times New Roman" w:hAnsi="Times New Roman" w:cs="Times New Roman"/>
                <w:i/>
                <w:iCs/>
                <w:sz w:val="24"/>
                <w:szCs w:val="24"/>
              </w:rPr>
            </w:pPr>
          </w:p>
        </w:tc>
        <w:tc>
          <w:tcPr>
            <w:tcW w:w="6469" w:type="dxa"/>
            <w:tcBorders>
              <w:top w:val="single" w:color="auto" w:sz="4" w:space="0"/>
              <w:left w:val="single" w:color="auto" w:sz="4" w:space="0"/>
              <w:bottom w:val="single" w:color="auto" w:sz="4" w:space="0"/>
            </w:tcBorders>
          </w:tcPr>
          <w:p w14:paraId="0D29D98A">
            <w:pPr>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ABSTRACT</w:t>
            </w:r>
          </w:p>
          <w:p w14:paraId="6E30190E">
            <w:pPr>
              <w:jc w:val="both"/>
              <w:rPr>
                <w:rFonts w:hint="default" w:ascii="Times New Roman" w:hAnsi="Times New Roman" w:cs="Times New Roman"/>
                <w:i/>
                <w:sz w:val="24"/>
                <w:szCs w:val="24"/>
                <w:lang w:val="en-US"/>
              </w:rPr>
            </w:pPr>
            <w:r>
              <w:rPr>
                <w:rFonts w:hint="default" w:ascii="Times New Roman" w:hAnsi="Times New Roman" w:cs="Times New Roman"/>
                <w:i/>
                <w:iCs/>
                <w:sz w:val="24"/>
                <w:szCs w:val="24"/>
                <w:lang w:val="zh-CN"/>
              </w:rPr>
              <w:t>Health is a basic need for every individual that must be fulfilled. UHC is a condition where all individuals and groups receive health services without being hindered by costs. Law Number 32 of 2004 on Regional Government states that health affairs are mandatory matters under the authority of local governments, including Gresik Regency. The seriousness of Gresik Regency in promoting the realization of UHC can be proven by the implementation of UHC (PBID) based on Gresik Regent Regulation Number 60 of 2022 concerning the Implementation of UHC in the National Health Insurance Program in Gresik Regency. The Gresik Regency Government has launched free health insurance, only requiring the presentation of an ID card and/or family card. Since its implementation, UHC in Gresik Regency has continuously increased, earning a UHC award in 2023. Gresik Regency has a remote area called Bawean Island. The geographical condition of Bawean Island, as an outermost area of Gresik Regency, which is far from the regency center, certainly affects access to health services. The main focus of this research is to conduct an evaluation using Michael Scriven's formative evaluation model, as cited by Muh. Firyal Akbar &amp; Mohi (2018), which consists of measuring the periodic implementation results, measuring whether clients or participants are moving towards the desired goals, and measuring whether resources have been used according to plan. This research uses descriptive research with a qualitative approach, collecting data through observation, interviews, and documentation. The research results show that UHC PBID has achieved the UHC objectives stated in Regent Regulation Number 60 of 2022, clients or participants have moved towards the desired goals, but resources have not been used according to plan.</w:t>
            </w:r>
          </w:p>
        </w:tc>
      </w:tr>
      <w:tr w14:paraId="6EDF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14:paraId="1C547514">
            <w:pPr>
              <w:pStyle w:val="39"/>
              <w:spacing w:line="240" w:lineRule="auto"/>
              <w:rPr>
                <w:rFonts w:hint="default" w:ascii="Times New Roman" w:hAnsi="Times New Roman" w:cs="Times New Roman"/>
                <w:b/>
                <w:bCs/>
                <w:sz w:val="24"/>
                <w:szCs w:val="24"/>
                <w:lang w:val="nl-NL"/>
              </w:rPr>
            </w:pPr>
            <w:r>
              <w:rPr>
                <w:rFonts w:hint="default" w:ascii="Times New Roman" w:hAnsi="Times New Roman" w:cs="Times New Roman"/>
                <w:b/>
                <w:bCs/>
                <w:sz w:val="24"/>
                <w:szCs w:val="24"/>
                <w:lang w:val="nl-NL"/>
              </w:rPr>
              <w:t>Kata Kunci</w:t>
            </w:r>
          </w:p>
          <w:p w14:paraId="0FC9E2DF">
            <w:pPr>
              <w:adjustRightInd w:val="0"/>
              <w:snapToGrid w:val="0"/>
              <w:jc w:val="left"/>
              <w:rPr>
                <w:rFonts w:hint="default" w:ascii="Times New Roman" w:hAnsi="Times New Roman" w:cs="Times New Roman"/>
                <w:bCs/>
                <w:sz w:val="24"/>
                <w:szCs w:val="24"/>
                <w:lang w:val="en-US" w:eastAsia="en-GB"/>
              </w:rPr>
            </w:pPr>
            <w:r>
              <w:rPr>
                <w:rFonts w:hint="default" w:ascii="Times New Roman" w:hAnsi="Times New Roman" w:cs="Times New Roman"/>
                <w:bCs/>
                <w:sz w:val="24"/>
                <w:szCs w:val="24"/>
                <w:lang w:val="en-US" w:eastAsia="en-GB"/>
              </w:rPr>
              <w:t>Universal Health Coverage;</w:t>
            </w:r>
          </w:p>
          <w:p w14:paraId="41A76B02">
            <w:pPr>
              <w:adjustRightInd w:val="0"/>
              <w:snapToGrid w:val="0"/>
              <w:jc w:val="left"/>
              <w:rPr>
                <w:rFonts w:hint="default" w:ascii="Times New Roman" w:hAnsi="Times New Roman" w:cs="Times New Roman"/>
                <w:bCs/>
                <w:sz w:val="24"/>
                <w:szCs w:val="24"/>
                <w:lang w:val="en-US" w:eastAsia="en-GB"/>
              </w:rPr>
            </w:pPr>
            <w:r>
              <w:rPr>
                <w:rFonts w:hint="default" w:ascii="Times New Roman" w:hAnsi="Times New Roman" w:cs="Times New Roman"/>
                <w:bCs/>
                <w:sz w:val="24"/>
                <w:szCs w:val="24"/>
                <w:lang w:val="en-US" w:eastAsia="en-GB"/>
              </w:rPr>
              <w:t>Jaminan Kesehatan Nasional;</w:t>
            </w:r>
          </w:p>
          <w:p w14:paraId="5B3416B3">
            <w:pPr>
              <w:adjustRightInd w:val="0"/>
              <w:snapToGrid w:val="0"/>
              <w:jc w:val="left"/>
              <w:rPr>
                <w:rFonts w:hint="default" w:ascii="Times New Roman" w:hAnsi="Times New Roman" w:cs="Times New Roman"/>
                <w:bCs/>
                <w:sz w:val="24"/>
                <w:szCs w:val="24"/>
                <w:lang w:val="en-US" w:eastAsia="en-GB"/>
              </w:rPr>
            </w:pPr>
            <w:r>
              <w:rPr>
                <w:rFonts w:hint="default" w:ascii="Times New Roman" w:hAnsi="Times New Roman" w:cs="Times New Roman"/>
                <w:bCs/>
                <w:sz w:val="24"/>
                <w:szCs w:val="24"/>
                <w:lang w:val="en-US" w:eastAsia="en-GB"/>
              </w:rPr>
              <w:t>Evaluasi;</w:t>
            </w:r>
          </w:p>
          <w:p w14:paraId="17D7EA22">
            <w:pPr>
              <w:adjustRightInd w:val="0"/>
              <w:snapToGrid w:val="0"/>
              <w:jc w:val="left"/>
              <w:rPr>
                <w:rFonts w:hint="default" w:ascii="Times New Roman" w:hAnsi="Times New Roman" w:cs="Times New Roman"/>
                <w:bCs/>
                <w:sz w:val="24"/>
                <w:szCs w:val="24"/>
                <w:lang w:val="en-US" w:eastAsia="en-GB"/>
              </w:rPr>
            </w:pPr>
            <w:r>
              <w:rPr>
                <w:rFonts w:hint="default" w:ascii="Times New Roman" w:hAnsi="Times New Roman" w:cs="Times New Roman"/>
                <w:bCs/>
                <w:sz w:val="24"/>
                <w:szCs w:val="24"/>
                <w:lang w:val="en-US" w:eastAsia="en-GB"/>
              </w:rPr>
              <w:t>Pulau Bawean.</w:t>
            </w:r>
          </w:p>
          <w:p w14:paraId="41933C6B">
            <w:pPr>
              <w:pStyle w:val="62"/>
              <w:ind w:left="44" w:hanging="44"/>
              <w:rPr>
                <w:rFonts w:hint="default" w:ascii="Times New Roman" w:hAnsi="Times New Roman" w:cs="Times New Roman"/>
                <w:bCs/>
                <w:i/>
                <w:iCs/>
                <w:sz w:val="24"/>
                <w:szCs w:val="24"/>
                <w:lang w:val="en-US"/>
              </w:rPr>
            </w:pPr>
          </w:p>
        </w:tc>
        <w:tc>
          <w:tcPr>
            <w:tcW w:w="284" w:type="dxa"/>
            <w:tcBorders>
              <w:top w:val="single" w:color="auto" w:sz="4" w:space="0"/>
              <w:left w:val="single" w:color="auto" w:sz="4" w:space="0"/>
              <w:bottom w:val="single" w:color="auto" w:sz="4" w:space="0"/>
              <w:right w:val="single" w:color="auto" w:sz="4" w:space="0"/>
            </w:tcBorders>
          </w:tcPr>
          <w:p w14:paraId="69A17960">
            <w:pPr>
              <w:rPr>
                <w:rFonts w:hint="default" w:ascii="Times New Roman" w:hAnsi="Times New Roman" w:cs="Times New Roman"/>
                <w:color w:val="FF0000"/>
                <w:sz w:val="24"/>
                <w:szCs w:val="24"/>
              </w:rPr>
            </w:pPr>
          </w:p>
        </w:tc>
        <w:tc>
          <w:tcPr>
            <w:tcW w:w="6469" w:type="dxa"/>
            <w:tcBorders>
              <w:top w:val="single" w:color="auto" w:sz="4" w:space="0"/>
              <w:left w:val="single" w:color="auto" w:sz="4" w:space="0"/>
              <w:bottom w:val="single" w:color="auto" w:sz="4" w:space="0"/>
            </w:tcBorders>
          </w:tcPr>
          <w:p w14:paraId="780990AA">
            <w:pPr>
              <w:pStyle w:val="62"/>
              <w:spacing w:line="206"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ABSTRAK</w:t>
            </w:r>
          </w:p>
          <w:p w14:paraId="5578DCC1">
            <w:pPr>
              <w:pStyle w:val="62"/>
              <w:jc w:val="both"/>
              <w:rPr>
                <w:rFonts w:hint="default" w:ascii="Times New Roman" w:hAnsi="Times New Roman" w:cs="Times New Roman"/>
                <w:bCs/>
                <w:sz w:val="24"/>
                <w:szCs w:val="24"/>
                <w:lang w:val="sv-SE"/>
              </w:rPr>
            </w:pPr>
            <w:r>
              <w:rPr>
                <w:rFonts w:hint="default" w:ascii="Times New Roman" w:hAnsi="Times New Roman" w:cs="Times New Roman"/>
                <w:sz w:val="24"/>
                <w:szCs w:val="24"/>
                <w:lang w:val="en-US"/>
              </w:rPr>
              <w:t xml:space="preserve">Kesehatan merupakan kebutuhan dasar bagi setiap individu yang harus terpenuhi. </w:t>
            </w:r>
            <w:r>
              <w:rPr>
                <w:rFonts w:hint="default" w:ascii="Times New Roman" w:hAnsi="Times New Roman" w:eastAsia="Calibri" w:cs="Times New Roman"/>
                <w:kern w:val="2"/>
                <w:sz w:val="24"/>
                <w:szCs w:val="24"/>
                <w:lang w:val="en-US" w:bidi="ar"/>
              </w:rPr>
              <w:t xml:space="preserve">UHC merupakan kondisi dimana seluruh individu dan kelompok mendapatkan pelayanan kesehatan tanpa terkendala biaya. </w:t>
            </w:r>
            <w:r>
              <w:rPr>
                <w:rFonts w:hint="default" w:ascii="Times New Roman" w:hAnsi="Times New Roman" w:cs="Times New Roman"/>
                <w:sz w:val="24"/>
                <w:szCs w:val="24"/>
                <w:lang w:val="en-US"/>
              </w:rPr>
              <w:t>Undang-Undang</w:t>
            </w:r>
            <w:r>
              <w:rPr>
                <w:rFonts w:hint="default" w:ascii="Times New Roman" w:hAnsi="Times New Roman" w:cs="Times New Roman"/>
                <w:sz w:val="24"/>
                <w:szCs w:val="24"/>
              </w:rPr>
              <w:t xml:space="preserve"> Nomor 32 Tahun 2004 tentang Pemerintahan Daerah</w:t>
            </w:r>
            <w:r>
              <w:rPr>
                <w:rFonts w:hint="default" w:ascii="Times New Roman" w:hAnsi="Times New Roman" w:cs="Times New Roman"/>
                <w:sz w:val="24"/>
                <w:szCs w:val="24"/>
                <w:lang w:val="en-US"/>
              </w:rPr>
              <w:t xml:space="preserve"> mengungkapkan bahwa urusan kesehatan merupakan urusan wajib yang menjadi kewenangan pemerintah daerah, termasuk Kabupaten Gresik. </w:t>
            </w:r>
            <w:r>
              <w:rPr>
                <w:rFonts w:hint="default" w:ascii="Times New Roman" w:hAnsi="Times New Roman" w:eastAsia="Calibri" w:cs="Times New Roman"/>
                <w:kern w:val="2"/>
                <w:sz w:val="24"/>
                <w:szCs w:val="24"/>
                <w:lang w:val="en-US" w:bidi="ar"/>
              </w:rPr>
              <w:t>Bentuk keseriusan Kabupaten Gresik dalam mendorong terwujudnya UHC dapat dibuktikan dengan Pelaksanaan UHC (PBID) berdasarkan pada Peraturan Bupati Gresik Nomor 60 Tahun 2022 tentang Penyelenggaraan</w:t>
            </w:r>
            <w:r>
              <w:rPr>
                <w:rFonts w:hint="default" w:ascii="Times New Roman" w:hAnsi="Times New Roman" w:eastAsia="Calibri" w:cs="Times New Roman"/>
                <w:i/>
                <w:iCs/>
                <w:kern w:val="2"/>
                <w:sz w:val="24"/>
                <w:szCs w:val="24"/>
                <w:lang w:val="en-US" w:bidi="ar"/>
              </w:rPr>
              <w:t xml:space="preserve"> </w:t>
            </w:r>
            <w:r>
              <w:rPr>
                <w:rFonts w:hint="default" w:ascii="Times New Roman" w:hAnsi="Times New Roman" w:eastAsia="Calibri" w:cs="Times New Roman"/>
                <w:kern w:val="2"/>
                <w:sz w:val="24"/>
                <w:szCs w:val="24"/>
                <w:lang w:val="en-US" w:bidi="ar"/>
              </w:rPr>
              <w:t>UHC Dalam Program Jaminan Kesehatan Nasional di Kabupaten Gresik. P</w:t>
            </w:r>
            <w:r>
              <w:rPr>
                <w:rFonts w:hint="default" w:ascii="Times New Roman" w:hAnsi="Times New Roman" w:cs="Times New Roman"/>
                <w:sz w:val="24"/>
                <w:szCs w:val="24"/>
                <w:lang w:val="en-US"/>
              </w:rPr>
              <w:t xml:space="preserve">emerintah Kabupaten Gresik mencanangkan jaminan kesehatan gratis, hanya dengan menunjukkan KTP dan/atau KK. </w:t>
            </w:r>
            <w:r>
              <w:rPr>
                <w:rFonts w:hint="default" w:ascii="Times New Roman" w:hAnsi="Times New Roman" w:eastAsia="Segoe UI" w:cs="Times New Roman"/>
                <w:sz w:val="24"/>
                <w:szCs w:val="24"/>
                <w:shd w:val="clear" w:color="auto" w:fill="FFFFFF"/>
                <w:lang w:val="en-US"/>
              </w:rPr>
              <w:t>Dari awal diberlakukan sampai saat ini, UHC di Kabupaten Gresik terus mengalami kenaikan, dan meraih UHC</w:t>
            </w:r>
            <w:r>
              <w:rPr>
                <w:rFonts w:hint="default" w:ascii="Times New Roman" w:hAnsi="Times New Roman" w:eastAsia="Segoe UI" w:cs="Times New Roman"/>
                <w:i/>
                <w:iCs/>
                <w:sz w:val="24"/>
                <w:szCs w:val="24"/>
                <w:shd w:val="clear" w:color="auto" w:fill="FFFFFF"/>
                <w:lang w:val="en-US"/>
              </w:rPr>
              <w:t xml:space="preserve"> award</w:t>
            </w:r>
            <w:r>
              <w:rPr>
                <w:rFonts w:hint="default" w:ascii="Times New Roman" w:hAnsi="Times New Roman" w:eastAsia="Segoe UI" w:cs="Times New Roman"/>
                <w:sz w:val="24"/>
                <w:szCs w:val="24"/>
                <w:shd w:val="clear" w:color="auto" w:fill="FFFFFF"/>
                <w:lang w:val="en-US"/>
              </w:rPr>
              <w:t xml:space="preserve"> pada tahun 2023</w:t>
            </w:r>
            <w:r>
              <w:rPr>
                <w:rFonts w:hint="default" w:ascii="Times New Roman" w:hAnsi="Times New Roman" w:cs="Times New Roman"/>
                <w:sz w:val="24"/>
                <w:szCs w:val="24"/>
                <w:lang w:val="en-US"/>
              </w:rPr>
              <w:t xml:space="preserve">. Kabupaten Gresik memiliki daerah terpencil bernama Pulau Bawean. Kondisi geografis </w:t>
            </w:r>
            <w:r>
              <w:rPr>
                <w:rFonts w:hint="default" w:ascii="Times New Roman" w:hAnsi="Times New Roman" w:cs="Times New Roman"/>
                <w:sz w:val="24"/>
                <w:szCs w:val="24"/>
                <w:shd w:val="clear" w:color="auto" w:fill="FFFFFF"/>
                <w:lang w:val="en-US"/>
              </w:rPr>
              <w:t>Pulau Bawean sebagai wilayah terluar dari Kabupaten Gresik,</w:t>
            </w:r>
            <w:r>
              <w:rPr>
                <w:rFonts w:hint="default" w:ascii="Times New Roman" w:hAnsi="Times New Roman" w:cs="Times New Roman"/>
                <w:sz w:val="24"/>
                <w:szCs w:val="24"/>
                <w:lang w:val="en-US"/>
              </w:rPr>
              <w:t xml:space="preserve"> yang jauh dari pusat kabupaten tentunya berpengaruh dalam</w:t>
            </w:r>
            <w:r>
              <w:rPr>
                <w:rFonts w:hint="default" w:ascii="Times New Roman" w:hAnsi="Times New Roman" w:cs="Times New Roman"/>
                <w:sz w:val="24"/>
                <w:szCs w:val="24"/>
                <w:shd w:val="clear" w:color="auto" w:fill="FFFFFF"/>
                <w:lang w:val="en-US"/>
              </w:rPr>
              <w:t xml:space="preserve"> menjangkau layanan kesehatan. Fokus utama penelitian ini adalah melakukan evaluasi dengan menggunakan</w:t>
            </w:r>
            <w:r>
              <w:rPr>
                <w:rFonts w:hint="default" w:ascii="Times New Roman" w:hAnsi="Times New Roman" w:eastAsia="Times New Roman" w:cs="Times New Roman"/>
                <w:sz w:val="24"/>
                <w:szCs w:val="24"/>
                <w:lang w:val="en-US"/>
              </w:rPr>
              <w:t xml:space="preserve"> model evaluasi formatif dari Michael Scriven yang dikutip dalam </w:t>
            </w:r>
            <w:r>
              <w:rPr>
                <w:rFonts w:hint="default" w:ascii="Times New Roman" w:hAnsi="Times New Roman" w:eastAsia="Calibri" w:cs="Times New Roman"/>
                <w:kern w:val="2"/>
                <w:sz w:val="24"/>
                <w:szCs w:val="24"/>
                <w:lang w:val="en-US" w:bidi="ar"/>
              </w:rPr>
              <w:fldChar w:fldCharType="begin" w:fldLock="1"/>
            </w:r>
            <w:r>
              <w:rPr>
                <w:rFonts w:hint="default" w:ascii="Times New Roman" w:hAnsi="Times New Roman" w:eastAsia="Calibri" w:cs="Times New Roman"/>
                <w:kern w:val="2"/>
                <w:sz w:val="24"/>
                <w:szCs w:val="24"/>
                <w:lang w:val="en-US" w:bidi="ar"/>
              </w:rPr>
              <w:instrText xml:space="preserve">ADDIN CSL_CITATION {"citationItems":[{"id":"ITEM-1","itemData":{"ISBN":"9786026635884","author":[{"dropping-particle":"","family":"Muh. Firyal Akbar","given":"Widya Kurniati Mohi","non-dropping-particle":"","parse-names":false,"suffix":""}],"id":"ITEM-1","issue":"March","issued":{"date-parts":[["2018"]]},"title":"Studi Evaluasi Kebijakan (Evaluasi Ekbijakan Di Indonesia)","type":"book"},"uris":["http://www.mendeley.com/documents/?uuid=e1a6aec9-e60c-4781-8212-3e2343e365dc"]}],"mendeley":{"formattedCitation":"[1]","manualFormatting":"Muh. Firyal Akbar &amp; Mohi (2018)","plainTextFormattedCitation":"[1]","previouslyFormattedCitation":"[1]"},"properties":{"noteIndex":0},"schema":"https://github.com/citation-style-language/schema/raw/master/csl-citation.json"}</w:instrText>
            </w:r>
            <w:r>
              <w:rPr>
                <w:rFonts w:hint="default" w:ascii="Times New Roman" w:hAnsi="Times New Roman" w:eastAsia="Calibri" w:cs="Times New Roman"/>
                <w:kern w:val="2"/>
                <w:sz w:val="24"/>
                <w:szCs w:val="24"/>
                <w:lang w:val="en-US" w:bidi="ar"/>
              </w:rPr>
              <w:fldChar w:fldCharType="separate"/>
            </w:r>
            <w:r>
              <w:rPr>
                <w:rFonts w:hint="default" w:ascii="Times New Roman" w:hAnsi="Times New Roman" w:eastAsia="Calibri" w:cs="Times New Roman"/>
                <w:kern w:val="2"/>
                <w:sz w:val="24"/>
                <w:szCs w:val="24"/>
                <w:lang w:val="en-US" w:bidi="ar"/>
              </w:rPr>
              <w:t>Muh. Firyal Akbar &amp; Mohi (2018)</w:t>
            </w:r>
            <w:r>
              <w:rPr>
                <w:rFonts w:hint="default" w:ascii="Times New Roman" w:hAnsi="Times New Roman" w:eastAsia="Calibri" w:cs="Times New Roman"/>
                <w:kern w:val="2"/>
                <w:sz w:val="24"/>
                <w:szCs w:val="24"/>
                <w:lang w:val="en-US" w:bidi="ar"/>
              </w:rPr>
              <w:fldChar w:fldCharType="end"/>
            </w:r>
            <w:r>
              <w:rPr>
                <w:rFonts w:hint="default" w:ascii="Times New Roman" w:hAnsi="Times New Roman" w:eastAsia="Calibri" w:cs="Times New Roman"/>
                <w:kern w:val="2"/>
                <w:sz w:val="24"/>
                <w:szCs w:val="24"/>
                <w:lang w:val="en-US" w:bidi="ar"/>
              </w:rPr>
              <w:t xml:space="preserve"> yang mana terdiri dari mengukur hasil pelaksanaan secara periodik, mengukur apakah klien atau partisipan bergerak ke arah tujuan yang diinginkan dan mengukur apakah sumber-sumber telah dipergunakan sesuai dengan rencana. </w:t>
            </w:r>
            <w:r>
              <w:rPr>
                <w:rFonts w:hint="default" w:ascii="Times New Roman" w:hAnsi="Times New Roman" w:cs="Times New Roman"/>
                <w:sz w:val="24"/>
                <w:szCs w:val="24"/>
              </w:rPr>
              <w:t xml:space="preserve">Penelitian ini menggunakan menggunakan jenis penelitian deskriptif </w:t>
            </w:r>
            <w:r>
              <w:rPr>
                <w:rFonts w:hint="default" w:ascii="Times New Roman" w:hAnsi="Times New Roman" w:cs="Times New Roman"/>
                <w:sz w:val="24"/>
                <w:szCs w:val="24"/>
                <w:lang w:val="en-US"/>
              </w:rPr>
              <w:t xml:space="preserve">dengan pendekatan </w:t>
            </w:r>
            <w:r>
              <w:rPr>
                <w:rFonts w:hint="default" w:ascii="Times New Roman" w:hAnsi="Times New Roman" w:cs="Times New Roman"/>
                <w:sz w:val="24"/>
                <w:szCs w:val="24"/>
              </w:rPr>
              <w:t>kualitatif</w:t>
            </w:r>
            <w:r>
              <w:rPr>
                <w:rFonts w:hint="default" w:ascii="Times New Roman" w:hAnsi="Times New Roman" w:cs="Times New Roman"/>
                <w:sz w:val="24"/>
                <w:szCs w:val="24"/>
                <w:lang w:val="en-US"/>
              </w:rPr>
              <w:t>, dengan pengumpulan data melalui observasi, wawancara, dokumentasi. Hasil penelitian menunjukkan bahwa UHC PBID telah mencapai tujuan UHC yang tercantum dalam Peraturan Bupati Nomor 60 Tahun 2022, klien atau partisipan telah bergerak ke arah tujuan yang diinginkan, tetapi sumber-sumber belum dipergunakan sesuai dengan rencana.</w:t>
            </w:r>
          </w:p>
          <w:p w14:paraId="0B239387">
            <w:pPr>
              <w:jc w:val="both"/>
              <w:rPr>
                <w:rFonts w:hint="default" w:ascii="Times New Roman" w:hAnsi="Times New Roman" w:cs="Times New Roman"/>
                <w:b/>
                <w:bCs/>
                <w:color w:val="000000"/>
                <w:sz w:val="24"/>
                <w:szCs w:val="24"/>
                <w:lang w:val="en-US"/>
              </w:rPr>
            </w:pPr>
          </w:p>
        </w:tc>
      </w:tr>
      <w:tr w14:paraId="247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14:paraId="0BD77EDA">
            <w:pPr>
              <w:pStyle w:val="37"/>
              <w:spacing w:line="240" w:lineRule="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Article History</w:t>
            </w:r>
          </w:p>
          <w:p w14:paraId="007A9D19">
            <w:pPr>
              <w:pStyle w:val="39"/>
              <w:spacing w:line="240" w:lineRule="auto"/>
              <w:jc w:val="both"/>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Send 25 </w:t>
            </w:r>
            <w:r>
              <w:rPr>
                <w:rFonts w:hint="default" w:ascii="Times New Roman" w:hAnsi="Times New Roman" w:cs="Times New Roman"/>
                <w:color w:val="FF0000"/>
                <w:sz w:val="24"/>
                <w:szCs w:val="24"/>
                <w:vertAlign w:val="superscript"/>
              </w:rPr>
              <w:t xml:space="preserve">th </w:t>
            </w:r>
            <w:r>
              <w:rPr>
                <w:rFonts w:hint="default" w:ascii="Times New Roman" w:hAnsi="Times New Roman" w:cs="Times New Roman"/>
                <w:color w:val="FF0000"/>
                <w:sz w:val="24"/>
                <w:szCs w:val="24"/>
              </w:rPr>
              <w:t>March 2024</w:t>
            </w:r>
          </w:p>
          <w:p w14:paraId="7AE97B54">
            <w:pPr>
              <w:pStyle w:val="39"/>
              <w:spacing w:line="240" w:lineRule="auto"/>
              <w:jc w:val="both"/>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Review 14 </w:t>
            </w:r>
            <w:r>
              <w:rPr>
                <w:rFonts w:hint="default" w:ascii="Times New Roman" w:hAnsi="Times New Roman" w:cs="Times New Roman"/>
                <w:color w:val="FF0000"/>
                <w:sz w:val="24"/>
                <w:szCs w:val="24"/>
                <w:vertAlign w:val="superscript"/>
              </w:rPr>
              <w:t xml:space="preserve">th </w:t>
            </w:r>
            <w:r>
              <w:rPr>
                <w:rFonts w:hint="default" w:ascii="Times New Roman" w:hAnsi="Times New Roman" w:cs="Times New Roman"/>
                <w:color w:val="FF0000"/>
                <w:sz w:val="24"/>
                <w:szCs w:val="24"/>
              </w:rPr>
              <w:t>April 2024</w:t>
            </w:r>
          </w:p>
          <w:p w14:paraId="1D9C907A">
            <w:pPr>
              <w:pStyle w:val="39"/>
              <w:spacing w:line="240" w:lineRule="auto"/>
              <w:rPr>
                <w:rFonts w:hint="default" w:ascii="Times New Roman" w:hAnsi="Times New Roman" w:cs="Times New Roman"/>
                <w:b/>
                <w:bCs/>
                <w:sz w:val="24"/>
                <w:szCs w:val="24"/>
              </w:rPr>
            </w:pPr>
            <w:r>
              <w:rPr>
                <w:rFonts w:hint="default" w:ascii="Times New Roman" w:hAnsi="Times New Roman" w:cs="Times New Roman"/>
                <w:color w:val="FF0000"/>
                <w:sz w:val="24"/>
                <w:szCs w:val="24"/>
              </w:rPr>
              <w:t xml:space="preserve">Accepted 22 </w:t>
            </w:r>
            <w:r>
              <w:rPr>
                <w:rFonts w:hint="default" w:ascii="Times New Roman" w:hAnsi="Times New Roman" w:cs="Times New Roman"/>
                <w:color w:val="FF0000"/>
                <w:sz w:val="24"/>
                <w:szCs w:val="24"/>
                <w:vertAlign w:val="superscript"/>
              </w:rPr>
              <w:t>th</w:t>
            </w:r>
            <w:r>
              <w:rPr>
                <w:rFonts w:hint="default" w:ascii="Times New Roman" w:hAnsi="Times New Roman" w:cs="Times New Roman"/>
                <w:color w:val="FF0000"/>
                <w:sz w:val="24"/>
                <w:szCs w:val="24"/>
              </w:rPr>
              <w:t xml:space="preserve"> May 2024</w:t>
            </w:r>
          </w:p>
        </w:tc>
        <w:tc>
          <w:tcPr>
            <w:tcW w:w="284" w:type="dxa"/>
            <w:tcBorders>
              <w:top w:val="single" w:color="auto" w:sz="4" w:space="0"/>
              <w:left w:val="single" w:color="auto" w:sz="4" w:space="0"/>
              <w:bottom w:val="single" w:color="auto" w:sz="4" w:space="0"/>
              <w:right w:val="single" w:color="auto" w:sz="4" w:space="0"/>
            </w:tcBorders>
          </w:tcPr>
          <w:p w14:paraId="1A5F6CD8">
            <w:pPr>
              <w:rPr>
                <w:rFonts w:hint="default" w:ascii="Times New Roman" w:hAnsi="Times New Roman" w:cs="Times New Roman"/>
                <w:sz w:val="24"/>
                <w:szCs w:val="24"/>
              </w:rPr>
            </w:pPr>
          </w:p>
        </w:tc>
        <w:tc>
          <w:tcPr>
            <w:tcW w:w="6469" w:type="dxa"/>
            <w:tcBorders>
              <w:top w:val="single" w:color="auto" w:sz="4" w:space="0"/>
              <w:left w:val="single" w:color="auto" w:sz="4" w:space="0"/>
              <w:bottom w:val="single" w:color="auto" w:sz="4" w:space="0"/>
            </w:tcBorders>
          </w:tcPr>
          <w:p w14:paraId="59DF49BF">
            <w:pPr>
              <w:pStyle w:val="41"/>
              <w:framePr w:hSpace="0" w:wrap="auto" w:vAnchor="margin" w:hAnchor="text" w:yAlign="inline"/>
              <w:spacing w:line="240" w:lineRule="auto"/>
              <w:rPr>
                <w:rFonts w:hint="default" w:ascii="Times New Roman" w:hAnsi="Times New Roman" w:cs="Times New Roman"/>
                <w:color w:val="0070C0"/>
                <w:sz w:val="24"/>
                <w:szCs w:val="24"/>
                <w:lang w:val="en-US"/>
              </w:rPr>
            </w:pPr>
            <w:r>
              <w:rPr>
                <w:rFonts w:hint="default" w:ascii="Times New Roman" w:hAnsi="Times New Roman" w:cs="Times New Roman"/>
                <w:sz w:val="24"/>
                <w:szCs w:val="24"/>
              </w:rPr>
              <w:t>Copyright ©20</w:t>
            </w:r>
            <w:r>
              <w:rPr>
                <w:rFonts w:hint="default" w:ascii="Times New Roman" w:hAnsi="Times New Roman" w:cs="Times New Roman"/>
                <w:sz w:val="24"/>
                <w:szCs w:val="24"/>
                <w:lang w:val="en-US"/>
              </w:rPr>
              <w:t xml:space="preserve">25 </w:t>
            </w:r>
            <w:r>
              <w:rPr>
                <w:rFonts w:hint="default" w:ascii="Times New Roman" w:hAnsi="Times New Roman" w:cs="Times New Roman"/>
                <w:color w:val="0070C0"/>
                <w:sz w:val="24"/>
                <w:szCs w:val="24"/>
              </w:rPr>
              <w:t xml:space="preserve">Jurnal Aristo (Social, Politic, Humaniora) </w:t>
            </w:r>
          </w:p>
          <w:p w14:paraId="661D15D3">
            <w:pPr>
              <w:pStyle w:val="41"/>
              <w:framePr w:hSpace="0" w:wrap="auto" w:vAnchor="margin" w:hAnchor="text" w:yAlign="inline"/>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This is an open access article under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"http://creativecommons.org/licenses/by-sa/4.0/" </w:instrText>
            </w:r>
            <w:r>
              <w:rPr>
                <w:rFonts w:hint="default" w:ascii="Times New Roman" w:hAnsi="Times New Roman" w:cs="Times New Roman"/>
                <w:sz w:val="24"/>
                <w:szCs w:val="24"/>
              </w:rPr>
              <w:fldChar w:fldCharType="separate"/>
            </w:r>
            <w:r>
              <w:rPr>
                <w:rStyle w:val="22"/>
                <w:rFonts w:hint="default" w:ascii="Times New Roman" w:hAnsi="Times New Roman" w:cs="Times New Roman"/>
                <w:sz w:val="24"/>
                <w:szCs w:val="24"/>
              </w:rPr>
              <w:t>CC–BY-</w:t>
            </w:r>
            <w:r>
              <w:rPr>
                <w:rStyle w:val="22"/>
                <w:rFonts w:hint="default" w:ascii="Times New Roman" w:hAnsi="Times New Roman" w:cs="Times New Roman"/>
                <w:sz w:val="24"/>
                <w:szCs w:val="24"/>
                <w:lang w:val="en-US"/>
              </w:rPr>
              <w:t>NC-</w:t>
            </w:r>
            <w:r>
              <w:rPr>
                <w:rStyle w:val="22"/>
                <w:rFonts w:hint="default" w:ascii="Times New Roman" w:hAnsi="Times New Roman" w:cs="Times New Roman"/>
                <w:sz w:val="24"/>
                <w:szCs w:val="24"/>
              </w:rPr>
              <w:t>SA</w:t>
            </w:r>
            <w:r>
              <w:rPr>
                <w:rStyle w:val="22"/>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license.</w:t>
            </w:r>
          </w:p>
          <w:p w14:paraId="04DB4002">
            <w:pPr>
              <w:pStyle w:val="41"/>
              <w:framePr w:hSpace="0" w:wrap="auto" w:vAnchor="margin" w:hAnchor="text" w:yAlign="inline"/>
              <w:spacing w:line="240" w:lineRule="auto"/>
              <w:ind w:right="-108"/>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Akses artikel terbuka dengan model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"http://creativecommons.org/licenses/by-sa/4.0/" </w:instrText>
            </w:r>
            <w:r>
              <w:rPr>
                <w:rFonts w:hint="default" w:ascii="Times New Roman" w:hAnsi="Times New Roman" w:cs="Times New Roman"/>
                <w:sz w:val="24"/>
                <w:szCs w:val="24"/>
              </w:rPr>
              <w:fldChar w:fldCharType="separate"/>
            </w:r>
            <w:r>
              <w:rPr>
                <w:rStyle w:val="22"/>
                <w:rFonts w:hint="default" w:ascii="Times New Roman" w:hAnsi="Times New Roman" w:cs="Times New Roman"/>
                <w:sz w:val="24"/>
                <w:szCs w:val="24"/>
              </w:rPr>
              <w:t>CC–BY-</w:t>
            </w:r>
            <w:r>
              <w:rPr>
                <w:rStyle w:val="22"/>
                <w:rFonts w:hint="default" w:ascii="Times New Roman" w:hAnsi="Times New Roman" w:cs="Times New Roman"/>
                <w:sz w:val="24"/>
                <w:szCs w:val="24"/>
                <w:lang w:val="en-US"/>
              </w:rPr>
              <w:t>NC-</w:t>
            </w:r>
            <w:r>
              <w:rPr>
                <w:rStyle w:val="22"/>
                <w:rFonts w:hint="default" w:ascii="Times New Roman" w:hAnsi="Times New Roman" w:cs="Times New Roman"/>
                <w:sz w:val="24"/>
                <w:szCs w:val="24"/>
              </w:rPr>
              <w:t>SA</w:t>
            </w:r>
            <w:r>
              <w:rPr>
                <w:rStyle w:val="22"/>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sebagai lisensinya.</w:t>
            </w:r>
          </w:p>
          <w:p w14:paraId="4C10329B">
            <w:pPr>
              <w:pStyle w:val="41"/>
              <w:framePr w:hSpace="0" w:wrap="auto" w:vAnchor="margin" w:hAnchor="text" w:yAlign="inline"/>
              <w:spacing w:line="240" w:lineRule="auto"/>
              <w:ind w:right="-108"/>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anchor distT="0" distB="0" distL="0" distR="0" simplePos="0" relativeHeight="251660288" behindDoc="0" locked="0" layoutInCell="1" allowOverlap="1">
                  <wp:simplePos x="0" y="0"/>
                  <wp:positionH relativeFrom="column">
                    <wp:posOffset>3088005</wp:posOffset>
                  </wp:positionH>
                  <wp:positionV relativeFrom="paragraph">
                    <wp:posOffset>44450</wp:posOffset>
                  </wp:positionV>
                  <wp:extent cx="977900" cy="219075"/>
                  <wp:effectExtent l="19050" t="0" r="0" b="0"/>
                  <wp:wrapNone/>
                  <wp:docPr id="1027" name="Picture 2" descr="H:\B. Proses Naskah ARISTO Old\Fix New Template Vol 08 No 01 Januari 2019\by-nc-sa.png"/>
                  <wp:cNvGraphicFramePr/>
                  <a:graphic xmlns:a="http://schemas.openxmlformats.org/drawingml/2006/main">
                    <a:graphicData uri="http://schemas.openxmlformats.org/drawingml/2006/picture">
                      <pic:pic xmlns:pic="http://schemas.openxmlformats.org/drawingml/2006/picture">
                        <pic:nvPicPr>
                          <pic:cNvPr id="1027" name="Picture 2" descr="H:\B. Proses Naskah ARISTO Old\Fix New Template Vol 08 No 01 Januari 2019\by-nc-sa.png"/>
                          <pic:cNvPicPr/>
                        </pic:nvPicPr>
                        <pic:blipFill>
                          <a:blip r:embed="rId13" cstate="print"/>
                          <a:srcRect/>
                          <a:stretch>
                            <a:fillRect/>
                          </a:stretch>
                        </pic:blipFill>
                        <pic:spPr>
                          <a:xfrm>
                            <a:off x="0" y="0"/>
                            <a:ext cx="977900" cy="219075"/>
                          </a:xfrm>
                          <a:prstGeom prst="rect">
                            <a:avLst/>
                          </a:prstGeom>
                          <a:ln>
                            <a:noFill/>
                          </a:ln>
                        </pic:spPr>
                      </pic:pic>
                    </a:graphicData>
                  </a:graphic>
                </wp:anchor>
              </w:drawing>
            </w:r>
          </w:p>
        </w:tc>
      </w:tr>
    </w:tbl>
    <w:p w14:paraId="64AE82C7">
      <w:pPr>
        <w:spacing w:line="360" w:lineRule="auto"/>
        <w:rPr>
          <w:rFonts w:hint="default" w:ascii="Times New Roman" w:hAnsi="Times New Roman" w:cs="Times New Roman"/>
          <w:sz w:val="24"/>
          <w:szCs w:val="24"/>
        </w:rPr>
        <w:sectPr>
          <w:headerReference r:id="rId5" w:type="default"/>
          <w:footerReference r:id="rId6" w:type="default"/>
          <w:pgSz w:w="11906" w:h="16838"/>
          <w:pgMar w:top="1440" w:right="1440" w:bottom="1440" w:left="1440" w:header="708" w:footer="708" w:gutter="0"/>
          <w:pgNumType w:start="30"/>
          <w:cols w:space="708" w:num="1"/>
          <w:docGrid w:linePitch="360" w:charSpace="0"/>
        </w:sectPr>
      </w:pPr>
    </w:p>
    <w:p w14:paraId="1B49F8A5">
      <w:pPr>
        <w:pStyle w:val="2"/>
        <w:numPr>
          <w:ilvl w:val="0"/>
          <w:numId w:val="0"/>
        </w:numPr>
        <w:spacing w:before="0" w:after="0" w:line="360" w:lineRule="auto"/>
        <w:ind w:left="360" w:hanging="36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p>
    <w:p w14:paraId="01CA0EDB">
      <w:pPr>
        <w:pStyle w:val="141"/>
        <w:spacing w:line="360" w:lineRule="auto"/>
        <w:ind w:left="0" w:leftChars="0" w:firstLine="720" w:firstLineChars="0"/>
        <w:rPr>
          <w:rFonts w:hint="default" w:ascii="Times New Roman" w:hAnsi="Times New Roman" w:cs="Times New Roman"/>
          <w:b/>
          <w:bCs/>
          <w:sz w:val="24"/>
          <w:szCs w:val="24"/>
          <w:lang w:val="zh-CN"/>
        </w:rPr>
      </w:pPr>
      <w:r>
        <w:rPr>
          <w:rFonts w:hint="default" w:ascii="Times New Roman" w:hAnsi="Times New Roman" w:cs="Times New Roman"/>
          <w:sz w:val="24"/>
          <w:szCs w:val="24"/>
        </w:rPr>
        <w:t>Perlindungan sosial adalah suatu sistem yang dilakukan dengan melalui kebijakan publik dengan tujuan mengurangi akibat dari tekanan sosial ekonomi yang dikarenakan berkurang atau bahkan hilangnya pendapatan karena penyakit, kecelakaan kerja,  pengangguran, kehamilan, kondisi lanjut usia, disabilitas, atau kematian</w:t>
      </w:r>
      <w:r>
        <w:rPr>
          <w:rFonts w:hint="default" w:ascii="Times New Roman" w:hAnsi="Times New Roman" w:cs="Times New Roman"/>
          <w:sz w:val="24"/>
          <w:szCs w:val="24"/>
          <w:lang w:val="en-US"/>
        </w:rPr>
        <w:t xml:space="preserve"> </w:t>
      </w:r>
      <w:r>
        <w:rPr>
          <w:rFonts w:hint="default" w:ascii="Times New Roman" w:hAnsi="Times New Roman" w:eastAsia="DengXian" w:cs="Times New Roman"/>
          <w:color w:val="auto"/>
          <w:kern w:val="0"/>
          <w:sz w:val="24"/>
          <w:szCs w:val="24"/>
          <w:lang w:val="en-US" w:eastAsia="zh-CN" w:bidi="ar"/>
        </w:rPr>
        <w:fldChar w:fldCharType="begin" w:fldLock="1"/>
      </w:r>
      <w:r>
        <w:rPr>
          <w:rFonts w:hint="default" w:ascii="Times New Roman" w:hAnsi="Times New Roman" w:eastAsia="DengXian" w:cs="Times New Roman"/>
          <w:color w:val="auto"/>
          <w:kern w:val="0"/>
          <w:sz w:val="24"/>
          <w:szCs w:val="24"/>
          <w:lang w:val="en-US" w:eastAsia="zh-CN" w:bidi="ar"/>
        </w:rPr>
        <w:instrText xml:space="preserve">ADDIN CSL_CITATION {"citationItems":[{"id":"ITEM-1","itemData":{"ISBN":"9786021763827","abstract":"Revisi I.","author":[{"dropping-particle":"","family":"Supriyanto;","given":"Raditia Wahyu","non-dropping-particle":"","parse-names":false,"suffix":""},{"dropping-particle":"","family":"Ramdhani;","given":"Elsa Ryan","non-dropping-particle":"","parse-names":false,"suffix":""},{"dropping-particle":"","family":"Rahmadan","given":"Eldi","non-dropping-particle":"","parse-names":false,"suffix":""}],"container-title":"Bappenas","editor":[{"dropping-particle":"","family":"Kiswanti","given":"Utin","non-dropping-particle":"","parse-names":false,"suffix":""}],"id":"ITEM-1","issued":{"date-parts":[["2014"]]},"number-of-pages":"89","publisher":"Direktorat Perlindungan dan Kesejahteraan Masyarakat Kementeriaan PPN/Bappena","publisher-place":"Jakarta","title":"Perlindungan Sosial di Indonesua : Tantangan dan Arah ke Depan","type":"book"},"uris":["http://www.mendeley.com/documents/?uuid=f46055b7-b2d9-4063-b0e0-25fe33abfce4"]}],"mendeley":{"formattedCitation":"(Supriyanto; et al., 2014)","plainTextFormattedCitation":"(Supriyanto; et al., 2014)","previouslyFormattedCitation":"(Supriyanto; et al., 2014)"},"properties":{"noteIndex":0},"schema":"https://github.com/citation-style-language/schema/raw/master/csl-citation.json"}</w:instrText>
      </w:r>
      <w:r>
        <w:rPr>
          <w:rFonts w:hint="default" w:ascii="Times New Roman" w:hAnsi="Times New Roman" w:eastAsia="DengXian" w:cs="Times New Roman"/>
          <w:color w:val="auto"/>
          <w:kern w:val="0"/>
          <w:sz w:val="24"/>
          <w:szCs w:val="24"/>
          <w:lang w:val="en-US" w:eastAsia="zh-CN" w:bidi="ar"/>
        </w:rPr>
        <w:fldChar w:fldCharType="separate"/>
      </w:r>
      <w:r>
        <w:rPr>
          <w:rFonts w:hint="default" w:ascii="Times New Roman" w:hAnsi="Times New Roman" w:eastAsia="DengXian" w:cs="Times New Roman"/>
          <w:color w:val="auto"/>
          <w:kern w:val="0"/>
          <w:sz w:val="24"/>
          <w:szCs w:val="24"/>
          <w:lang w:val="en-US" w:eastAsia="zh-CN" w:bidi="ar"/>
        </w:rPr>
        <w:t>(Supriyanto; et al., 2014)</w:t>
      </w:r>
      <w:r>
        <w:rPr>
          <w:rFonts w:hint="default" w:ascii="Times New Roman" w:hAnsi="Times New Roman" w:eastAsia="DengXian" w:cs="Times New Roman"/>
          <w:color w:val="auto"/>
          <w:kern w:val="0"/>
          <w:sz w:val="24"/>
          <w:szCs w:val="24"/>
          <w:lang w:val="en-US" w:eastAsia="zh-CN" w:bidi="ar"/>
        </w:rPr>
        <w:fldChar w:fldCharType="end"/>
      </w:r>
      <w:r>
        <w:rPr>
          <w:rFonts w:hint="default" w:ascii="Times New Roman" w:hAnsi="Times New Roman" w:cs="Times New Roman"/>
          <w:sz w:val="24"/>
          <w:szCs w:val="24"/>
        </w:rPr>
        <w:t xml:space="preserve">. </w:t>
      </w:r>
      <w:r>
        <w:rPr>
          <w:rFonts w:hint="default" w:ascii="Times New Roman" w:hAnsi="Times New Roman" w:cs="Times New Roman"/>
          <w:i/>
          <w:iCs/>
          <w:sz w:val="24"/>
          <w:szCs w:val="24"/>
          <w:lang w:val="zh-CN"/>
        </w:rPr>
        <w:t>World Bank</w:t>
      </w:r>
      <w:r>
        <w:rPr>
          <w:rFonts w:hint="default" w:ascii="Times New Roman" w:hAnsi="Times New Roman" w:cs="Times New Roman"/>
          <w:sz w:val="24"/>
          <w:szCs w:val="24"/>
          <w:lang w:val="zh-CN"/>
        </w:rPr>
        <w:t xml:space="preserve"> dalam dokumen </w:t>
      </w:r>
      <w:r>
        <w:rPr>
          <w:rFonts w:hint="default" w:ascii="Times New Roman" w:hAnsi="Times New Roman" w:cs="Times New Roman"/>
          <w:i/>
          <w:iCs/>
          <w:sz w:val="24"/>
          <w:szCs w:val="24"/>
          <w:lang w:val="zh-CN"/>
        </w:rPr>
        <w:t xml:space="preserve">Social Protection and Labor Strategy </w:t>
      </w:r>
      <w:r>
        <w:rPr>
          <w:rFonts w:hint="default" w:ascii="Times New Roman" w:hAnsi="Times New Roman" w:cs="Times New Roman"/>
          <w:sz w:val="24"/>
          <w:szCs w:val="24"/>
          <w:lang w:val="zh-CN"/>
        </w:rPr>
        <w:t>mengungkapkan bahwa salah satu cakupan dari perlindungan sosial adalah Jaring Pengaman Sosial (JPS)</w:t>
      </w:r>
      <w:r>
        <w:rPr>
          <w:rFonts w:hint="default" w:ascii="Times New Roman" w:hAnsi="Times New Roman" w:cs="Times New Roman"/>
          <w:sz w:val="24"/>
          <w:szCs w:val="24"/>
          <w:lang w:val="en-US"/>
        </w:rPr>
        <w:t xml:space="preserve"> </w:t>
      </w:r>
      <w:r>
        <w:rPr>
          <w:rFonts w:hint="default" w:ascii="Times New Roman" w:hAnsi="Times New Roman" w:eastAsia="DengXian" w:cs="Times New Roman"/>
          <w:color w:val="auto"/>
          <w:kern w:val="0"/>
          <w:sz w:val="24"/>
          <w:szCs w:val="24"/>
          <w:lang w:val="en-US" w:eastAsia="zh-CN" w:bidi="ar"/>
        </w:rPr>
        <w:fldChar w:fldCharType="begin" w:fldLock="1"/>
      </w:r>
      <w:r>
        <w:rPr>
          <w:rFonts w:hint="default" w:ascii="Times New Roman" w:hAnsi="Times New Roman" w:eastAsia="DengXian" w:cs="Times New Roman"/>
          <w:color w:val="auto"/>
          <w:kern w:val="0"/>
          <w:sz w:val="24"/>
          <w:szCs w:val="24"/>
          <w:lang w:val="en-US" w:eastAsia="zh-CN" w:bidi="ar"/>
        </w:rPr>
        <w:instrText xml:space="preserve">ADDIN CSL_CITATION {"citationItems":[{"id":"ITEM-1","itemData":{"ISBN":"9786021763827","abstract":"Revisi I.","author":[{"dropping-particle":"","family":"Supriyanto;","given":"Raditia Wahyu","non-dropping-particle":"","parse-names":false,"suffix":""},{"dropping-particle":"","family":"Ramdhani;","given":"Elsa Ryan","non-dropping-particle":"","parse-names":false,"suffix":""},{"dropping-particle":"","family":"Rahmadan","given":"Eldi","non-dropping-particle":"","parse-names":false,"suffix":""}],"container-title":"Bappenas","editor":[{"dropping-particle":"","family":"Kiswanti","given":"Utin","non-dropping-particle":"","parse-names":false,"suffix":""}],"id":"ITEM-1","issued":{"date-parts":[["2014"]]},"number-of-pages":"89","publisher":"Direktorat Perlindungan dan Kesejahteraan Masyarakat Kementeriaan PPN/Bappena","publisher-place":"Jakarta","title":"Perlindungan Sosial di Indonesua : Tantangan dan Arah ke Depan","type":"book"},"uris":["http://www.mendeley.com/documents/?uuid=f46055b7-b2d9-4063-b0e0-25fe33abfce4"]}],"mendeley":{"formattedCitation":"(Supriyanto; et al., 2014)","manualFormatting":"Supriyanto; et al., (2014)","plainTextFormattedCitation":"(Supriyanto; et al., 2014)","previouslyFormattedCitation":"(Supriyanto; et al., 2014)"},"properties":{"noteIndex":0},"schema":"https://github.com/citation-style-language/schema/raw/master/csl-citation.json"}</w:instrText>
      </w:r>
      <w:r>
        <w:rPr>
          <w:rFonts w:hint="default" w:ascii="Times New Roman" w:hAnsi="Times New Roman" w:eastAsia="DengXian" w:cs="Times New Roman"/>
          <w:color w:val="auto"/>
          <w:kern w:val="0"/>
          <w:sz w:val="24"/>
          <w:szCs w:val="24"/>
          <w:lang w:val="en-US" w:eastAsia="zh-CN" w:bidi="ar"/>
        </w:rPr>
        <w:fldChar w:fldCharType="separate"/>
      </w:r>
      <w:r>
        <w:rPr>
          <w:rFonts w:hint="default" w:ascii="Times New Roman" w:hAnsi="Times New Roman" w:eastAsia="DengXian" w:cs="Times New Roman"/>
          <w:color w:val="auto"/>
          <w:kern w:val="0"/>
          <w:sz w:val="24"/>
          <w:szCs w:val="24"/>
          <w:lang w:val="en-US" w:eastAsia="zh-CN" w:bidi="ar"/>
        </w:rPr>
        <w:t>Supriyanto; et al., (2014)</w:t>
      </w:r>
      <w:r>
        <w:rPr>
          <w:rFonts w:hint="default" w:ascii="Times New Roman" w:hAnsi="Times New Roman" w:eastAsia="DengXian" w:cs="Times New Roman"/>
          <w:color w:val="auto"/>
          <w:kern w:val="0"/>
          <w:sz w:val="24"/>
          <w:szCs w:val="24"/>
          <w:lang w:val="en-US" w:eastAsia="zh-CN" w:bidi="ar"/>
        </w:rPr>
        <w:fldChar w:fldCharType="end"/>
      </w:r>
      <w:r>
        <w:rPr>
          <w:rFonts w:hint="default" w:ascii="Times New Roman" w:hAnsi="Times New Roman" w:cs="Times New Roman"/>
          <w:sz w:val="24"/>
          <w:szCs w:val="24"/>
          <w:lang w:val="zh-CN"/>
        </w:rPr>
        <w:t xml:space="preserve">. </w:t>
      </w:r>
      <w:r>
        <w:rPr>
          <w:rFonts w:hint="default" w:ascii="Times New Roman" w:hAnsi="Times New Roman" w:eastAsia="DengXian" w:cs="Times New Roman"/>
          <w:color w:val="auto"/>
          <w:kern w:val="0"/>
          <w:sz w:val="24"/>
          <w:szCs w:val="24"/>
          <w:lang w:val="en-US" w:eastAsia="zh-CN" w:bidi="ar"/>
        </w:rPr>
        <w:fldChar w:fldCharType="begin" w:fldLock="1"/>
      </w:r>
      <w:r>
        <w:rPr>
          <w:rFonts w:hint="default" w:ascii="Times New Roman" w:hAnsi="Times New Roman" w:eastAsia="DengXian" w:cs="Times New Roman"/>
          <w:color w:val="auto"/>
          <w:kern w:val="0"/>
          <w:sz w:val="24"/>
          <w:szCs w:val="24"/>
          <w:lang w:val="en-US" w:eastAsia="zh-CN" w:bidi="ar"/>
        </w:rPr>
        <w:instrText xml:space="preserve">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approach.","author":[{"dropping-particle":"","family":"Walker","given":"Marthaj Bailey; Hilary Hoynes; Maya Rossin-Slater; Reed","non-dropping-particle":"","parse-names":false,"suffix":""}],"container-title":"The Review of Economic Studies","id":"ITEM-1","issued":{"date-parts":[["2023"]]},"title":"Is the Social Safety Net a Long-Term Investment? Large-Scale Evidence From the Food Stamps Program","type":"article-journal"},"uris":["http://www.mendeley.com/documents/?uuid=6a76b5b5-e096-42e5-9ddd-414e96f18520"]}],"mendeley":{"formattedCitation":"(Walker, 2023)","manualFormatting":"Walker (2023)","plainTextFormattedCitation":"(Walker, 2023)","previouslyFormattedCitation":"(Walker, 2023)"},"properties":{"noteIndex":0},"schema":"https://github.com/citation-style-language/schema/raw/master/csl-citation.json"}</w:instrText>
      </w:r>
      <w:r>
        <w:rPr>
          <w:rFonts w:hint="default" w:ascii="Times New Roman" w:hAnsi="Times New Roman" w:eastAsia="DengXian" w:cs="Times New Roman"/>
          <w:color w:val="auto"/>
          <w:kern w:val="0"/>
          <w:sz w:val="24"/>
          <w:szCs w:val="24"/>
          <w:lang w:val="en-US" w:eastAsia="zh-CN" w:bidi="ar"/>
        </w:rPr>
        <w:fldChar w:fldCharType="separate"/>
      </w:r>
      <w:r>
        <w:rPr>
          <w:rFonts w:hint="default" w:ascii="Times New Roman" w:hAnsi="Times New Roman" w:eastAsia="DengXian" w:cs="Times New Roman"/>
          <w:color w:val="auto"/>
          <w:kern w:val="0"/>
          <w:sz w:val="24"/>
          <w:szCs w:val="24"/>
          <w:lang w:val="en-US" w:eastAsia="zh-CN" w:bidi="ar"/>
        </w:rPr>
        <w:t>Walker (2023)</w:t>
      </w:r>
      <w:r>
        <w:rPr>
          <w:rFonts w:hint="default" w:ascii="Times New Roman" w:hAnsi="Times New Roman" w:eastAsia="DengXian" w:cs="Times New Roman"/>
          <w:color w:val="auto"/>
          <w:kern w:val="0"/>
          <w:sz w:val="24"/>
          <w:szCs w:val="24"/>
          <w:lang w:val="en-US" w:eastAsia="zh-CN" w:bidi="ar"/>
        </w:rPr>
        <w:fldChar w:fldCharType="end"/>
      </w:r>
      <w:r>
        <w:rPr>
          <w:rFonts w:hint="default" w:ascii="Times New Roman" w:hAnsi="Times New Roman" w:eastAsia="DengXian" w:cs="Times New Roman"/>
          <w:color w:val="auto"/>
          <w:kern w:val="0"/>
          <w:sz w:val="24"/>
          <w:szCs w:val="24"/>
          <w:lang w:val="en-US" w:eastAsia="zh-CN" w:bidi="ar"/>
        </w:rPr>
        <w:t xml:space="preserve"> memaparkan bahwa </w:t>
      </w:r>
      <w:r>
        <w:rPr>
          <w:rFonts w:hint="default" w:ascii="Times New Roman" w:hAnsi="Times New Roman" w:cs="Times New Roman"/>
          <w:sz w:val="24"/>
          <w:szCs w:val="24"/>
          <w:lang w:val="zh-CN"/>
        </w:rPr>
        <w:t>JPS merupakan suatu program yang dirancang untuk membantu individu dengan tingkat pendapatan rendah dapat mencukupi kebutuhan pangan, tempat tinggal, dan kebutuhan akan kesehatan</w:t>
      </w:r>
      <w:r>
        <w:rPr>
          <w:rFonts w:hint="default" w:ascii="Times New Roman" w:hAnsi="Times New Roman" w:cs="Times New Roman"/>
          <w:b/>
          <w:bCs/>
          <w:sz w:val="24"/>
          <w:szCs w:val="24"/>
          <w:lang w:val="zh-CN"/>
        </w:rPr>
        <w:t xml:space="preserve">. </w:t>
      </w:r>
      <w:r>
        <w:rPr>
          <w:rFonts w:hint="default" w:ascii="Times New Roman" w:hAnsi="Times New Roman" w:eastAsia="DengXian" w:cs="Times New Roman"/>
          <w:color w:val="auto"/>
          <w:kern w:val="0"/>
          <w:sz w:val="24"/>
          <w:szCs w:val="24"/>
          <w:lang w:val="en-US" w:eastAsia="zh-CN" w:bidi="ar"/>
        </w:rPr>
        <w:t xml:space="preserve">Sumodiningrat dalam dalam </w:t>
      </w:r>
      <w:r>
        <w:rPr>
          <w:rFonts w:hint="default" w:ascii="Times New Roman" w:hAnsi="Times New Roman" w:eastAsia="DengXian" w:cs="Times New Roman"/>
          <w:color w:val="auto"/>
          <w:kern w:val="0"/>
          <w:sz w:val="24"/>
          <w:szCs w:val="24"/>
          <w:lang w:val="en-US" w:eastAsia="zh-CN" w:bidi="ar"/>
        </w:rPr>
        <w:fldChar w:fldCharType="begin" w:fldLock="1"/>
      </w:r>
      <w:r>
        <w:rPr>
          <w:rFonts w:hint="default" w:ascii="Times New Roman" w:hAnsi="Times New Roman" w:eastAsia="DengXian" w:cs="Times New Roman"/>
          <w:color w:val="auto"/>
          <w:kern w:val="0"/>
          <w:sz w:val="24"/>
          <w:szCs w:val="24"/>
          <w:lang w:val="en-US" w:eastAsia="zh-CN" w:bidi="ar"/>
        </w:rPr>
        <w:instrText xml:space="preserve">ADDIN CSL_CITATION {"citationItems":[{"id":"ITEM-1","itemData":{"ISBN":"9786024737504","author":[{"dropping-particle":"","family":"Widiastuti","given":"Tika","non-dropping-particle":"","parse-names":false,"suffix":""},{"dropping-particle":"","family":"Muryani","given":"","non-dropping-particle":"","parse-names":false,"suffix":""},{"dropping-particle":"","family":"Sukmaningrum","given":"Puji Sucia","non-dropping-particle":"","parse-names":false,"suffix":""},{"dropping-particle":"","family":"Fauzia","given":"Ika Yunia","non-dropping-particle":"","parse-names":false,"suffix":""},{"dropping-particle":"","family":"Rusgianto","given":"Sulistya","non-dropping-particle":"","parse-names":false,"suffix":""},{"dropping-particle":"","family":"Fadlul","given":"Aufar","non-dropping-particle":"","parse-names":false,"suffix":""}],"id":"ITEM-1","issued":{"date-parts":[["2021"]]},"publisher":"Airlangga University Press","title":"Model Jaring Pengaman Sosial Dalam Perspektif Ekonomi Islam","type":"book"},"uris":["http://www.mendeley.com/documents/?uuid=c2535904-f64c-416b-92c2-aa218fe2f2a3"]}],"mendeley":{"formattedCitation":"(Widiastuti et al., 2021)","manualFormatting":"Widiastuti et al., (2021)","plainTextFormattedCitation":"(Widiastuti et al., 2021)","previouslyFormattedCitation":"(Widiastuti et al., 2021)"},"properties":{"noteIndex":0},"schema":"https://github.com/citation-style-language/schema/raw/master/csl-citation.json"}</w:instrText>
      </w:r>
      <w:r>
        <w:rPr>
          <w:rFonts w:hint="default" w:ascii="Times New Roman" w:hAnsi="Times New Roman" w:eastAsia="DengXian" w:cs="Times New Roman"/>
          <w:color w:val="auto"/>
          <w:kern w:val="0"/>
          <w:sz w:val="24"/>
          <w:szCs w:val="24"/>
          <w:lang w:val="en-US" w:eastAsia="zh-CN" w:bidi="ar"/>
        </w:rPr>
        <w:fldChar w:fldCharType="separate"/>
      </w:r>
      <w:r>
        <w:rPr>
          <w:rFonts w:hint="default" w:ascii="Times New Roman" w:hAnsi="Times New Roman" w:eastAsia="DengXian" w:cs="Times New Roman"/>
          <w:color w:val="auto"/>
          <w:kern w:val="0"/>
          <w:sz w:val="24"/>
          <w:szCs w:val="24"/>
          <w:lang w:val="en-US" w:eastAsia="zh-CN" w:bidi="ar"/>
        </w:rPr>
        <w:t>Widiastuti et al., (2021)</w:t>
      </w:r>
      <w:r>
        <w:rPr>
          <w:rFonts w:hint="default" w:ascii="Times New Roman" w:hAnsi="Times New Roman" w:eastAsia="DengXian" w:cs="Times New Roman"/>
          <w:color w:val="auto"/>
          <w:kern w:val="0"/>
          <w:sz w:val="24"/>
          <w:szCs w:val="24"/>
          <w:lang w:val="en-US" w:eastAsia="zh-CN" w:bidi="ar"/>
        </w:rPr>
        <w:fldChar w:fldCharType="end"/>
      </w:r>
      <w:r>
        <w:rPr>
          <w:rFonts w:hint="default" w:ascii="Times New Roman" w:hAnsi="Times New Roman" w:eastAsia="DengXian" w:cs="Times New Roman"/>
          <w:color w:val="auto"/>
          <w:kern w:val="0"/>
          <w:sz w:val="24"/>
          <w:szCs w:val="24"/>
          <w:lang w:val="en-US" w:eastAsia="zh-CN" w:bidi="ar"/>
        </w:rPr>
        <w:t xml:space="preserve"> mengungkapkan bahwa s</w:t>
      </w:r>
      <w:r>
        <w:rPr>
          <w:rFonts w:hint="default" w:ascii="Times New Roman" w:hAnsi="Times New Roman" w:cs="Times New Roman"/>
          <w:sz w:val="24"/>
          <w:szCs w:val="24"/>
          <w:lang w:val="zh-CN"/>
        </w:rPr>
        <w:t>alah satu fokus dari JPS adalah perlindungan sosial untuk mempertahankan akses masyarakat terhadap pelayanan kesehatan</w:t>
      </w:r>
      <w:r>
        <w:rPr>
          <w:rFonts w:hint="default" w:ascii="Times New Roman" w:hAnsi="Times New Roman" w:cs="Times New Roman"/>
          <w:b/>
          <w:bCs/>
          <w:sz w:val="24"/>
          <w:szCs w:val="24"/>
          <w:lang w:val="zh-CN"/>
        </w:rPr>
        <w:t xml:space="preserve">. </w:t>
      </w:r>
      <w:r>
        <w:rPr>
          <w:rFonts w:hint="default" w:ascii="Times New Roman" w:hAnsi="Times New Roman" w:cs="Times New Roman"/>
          <w:sz w:val="24"/>
          <w:szCs w:val="24"/>
        </w:rPr>
        <w:t xml:space="preserve">Undang-Undang Republik Indonesia, </w:t>
      </w:r>
      <w:r>
        <w:rPr>
          <w:rFonts w:hint="default" w:ascii="Times New Roman" w:hAnsi="Times New Roman" w:cs="Times New Roman"/>
          <w:i/>
          <w:iCs/>
          <w:sz w:val="24"/>
          <w:szCs w:val="24"/>
        </w:rPr>
        <w:t>Undang-undang Nomor 17 Tahun 2023 Tentang Kesehatan</w:t>
      </w:r>
      <w:r>
        <w:rPr>
          <w:rFonts w:hint="default" w:ascii="Times New Roman" w:hAnsi="Times New Roman" w:cs="Times New Roman"/>
          <w:sz w:val="24"/>
          <w:szCs w:val="24"/>
        </w:rPr>
        <w:t>. 2023</w:t>
      </w:r>
      <w:r>
        <w:rPr>
          <w:rFonts w:hint="default" w:ascii="Times New Roman" w:hAnsi="Times New Roman" w:cs="Times New Roman"/>
          <w:sz w:val="24"/>
          <w:szCs w:val="24"/>
          <w:lang w:val="en-US"/>
        </w:rPr>
        <w:t xml:space="preserve"> mamaparkan bahwa k</w:t>
      </w:r>
      <w:r>
        <w:rPr>
          <w:rFonts w:hint="default" w:ascii="Times New Roman" w:hAnsi="Times New Roman" w:cs="Times New Roman"/>
          <w:sz w:val="24"/>
          <w:szCs w:val="24"/>
          <w:lang w:val="zh-CN"/>
        </w:rPr>
        <w:t>esehatan merupakan Keadaan sehat seseorang, baik secara fisik, jiwa, maupun sosial dan bukan sekadar terbebas dari penyakit untuk memungkinkan  hidup produktif</w:t>
      </w:r>
      <w:r>
        <w:rPr>
          <w:rFonts w:hint="default" w:ascii="Times New Roman" w:hAnsi="Times New Roman" w:cs="Times New Roman"/>
          <w:b/>
          <w:bCs/>
          <w:sz w:val="24"/>
          <w:szCs w:val="24"/>
          <w:lang w:val="zh-CN"/>
        </w:rPr>
        <w:t xml:space="preserve">. </w:t>
      </w:r>
    </w:p>
    <w:p w14:paraId="05A6EF8B">
      <w:pPr>
        <w:pStyle w:val="141"/>
        <w:spacing w:line="360" w:lineRule="auto"/>
        <w:ind w:left="0" w:leftChars="0" w:firstLine="720" w:firstLineChars="0"/>
        <w:rPr>
          <w:rFonts w:hint="default" w:ascii="Times New Roman" w:hAnsi="Times New Roman" w:cs="Times New Roman"/>
          <w:sz w:val="24"/>
          <w:szCs w:val="24"/>
        </w:rPr>
      </w:pPr>
      <w:r>
        <w:rPr>
          <w:rFonts w:hint="default" w:ascii="Times New Roman" w:hAnsi="Times New Roman" w:cs="Times New Roman"/>
          <w:sz w:val="24"/>
          <w:szCs w:val="24"/>
          <w:lang w:val="zh-CN"/>
        </w:rPr>
        <w:t>U</w:t>
      </w:r>
      <w:r>
        <w:rPr>
          <w:rFonts w:hint="default" w:ascii="Times New Roman" w:hAnsi="Times New Roman" w:cs="Times New Roman"/>
          <w:i/>
          <w:iCs/>
          <w:sz w:val="24"/>
          <w:szCs w:val="24"/>
          <w:lang w:val="zh-CN"/>
        </w:rPr>
        <w:t>niversal Health Coverage</w:t>
      </w:r>
      <w:r>
        <w:rPr>
          <w:rFonts w:hint="default" w:ascii="Times New Roman" w:hAnsi="Times New Roman" w:cs="Times New Roman"/>
          <w:sz w:val="24"/>
          <w:szCs w:val="24"/>
          <w:lang w:val="zh-CN"/>
        </w:rPr>
        <w:t xml:space="preserve"> (UHC) hadir berdasarkan konstitusi </w:t>
      </w:r>
      <w:r>
        <w:rPr>
          <w:rFonts w:hint="default" w:ascii="Times New Roman" w:hAnsi="Times New Roman" w:cs="Times New Roman"/>
          <w:i/>
          <w:iCs/>
          <w:sz w:val="24"/>
          <w:szCs w:val="24"/>
          <w:lang w:val="zh-CN"/>
        </w:rPr>
        <w:t>World Health Organization</w:t>
      </w:r>
      <w:r>
        <w:rPr>
          <w:rFonts w:hint="default" w:ascii="Times New Roman" w:hAnsi="Times New Roman" w:cs="Times New Roman"/>
          <w:sz w:val="24"/>
          <w:szCs w:val="24"/>
          <w:lang w:val="zh-CN"/>
        </w:rPr>
        <w:t xml:space="preserve"> (WHO) pada tahun 1948 yang mendeklarasikan tentang </w:t>
      </w:r>
      <w:r>
        <w:rPr>
          <w:rFonts w:hint="default" w:ascii="Times New Roman" w:hAnsi="Times New Roman" w:cs="Times New Roman"/>
          <w:i/>
          <w:iCs/>
          <w:sz w:val="24"/>
          <w:szCs w:val="24"/>
          <w:lang w:val="zh-CN"/>
        </w:rPr>
        <w:t>“Health a fundamental human right</w:t>
      </w:r>
      <w:r>
        <w:rPr>
          <w:rFonts w:hint="default" w:ascii="Times New Roman" w:hAnsi="Times New Roman" w:cs="Times New Roman"/>
          <w:sz w:val="24"/>
          <w:szCs w:val="24"/>
          <w:lang w:val="zh-CN"/>
        </w:rPr>
        <w:t>” atau kesehatan adalah hak asasi manusia yang paling dasar</w:t>
      </w:r>
      <w:r>
        <w:rPr>
          <w:rFonts w:hint="default" w:ascii="Times New Roman" w:hAnsi="Times New Roman" w:cs="Times New Roman"/>
          <w:sz w:val="24"/>
          <w:szCs w:val="24"/>
          <w:lang w:val="en-US"/>
        </w:rPr>
        <w:t xml:space="preserve"> </w:t>
      </w:r>
      <w:r>
        <w:rPr>
          <w:rFonts w:hint="default" w:ascii="Times New Roman" w:hAnsi="Times New Roman" w:eastAsia="Calibri" w:cs="Times New Roman"/>
          <w:color w:val="auto"/>
          <w:kern w:val="2"/>
          <w:sz w:val="24"/>
          <w:szCs w:val="24"/>
          <w:lang w:val="en-US" w:eastAsia="zh-CN" w:bidi="ar"/>
        </w:rPr>
        <w:fldChar w:fldCharType="begin" w:fldLock="1"/>
      </w:r>
      <w:r>
        <w:rPr>
          <w:rFonts w:hint="default" w:ascii="Times New Roman" w:hAnsi="Times New Roman" w:eastAsia="Calibri" w:cs="Times New Roman"/>
          <w:color w:val="auto"/>
          <w:kern w:val="2"/>
          <w:sz w:val="24"/>
          <w:szCs w:val="24"/>
          <w:lang w:val="en-US" w:eastAsia="zh-CN" w:bidi="ar"/>
        </w:rPr>
        <w:instrText xml:space="preserve">ADDIN CSL_CITATION {"citationItems":[{"id":"ITEM-1","itemData":{"abstract":"In the space of nine months, COVID-19 has spread to more than 190 countries, with over 30 million cases reported. Over one million lives have been lost. The pandemic has laid bare long-ignored risks, including inadequate health systems, gaps in social protection and structural inequalities. It has also brought home the importance of basic public health, and strong health systems and emergency preparedness, as well as the resilience of a population in the face of a new virus or pandemic, lending ever greater urgency to the quest for universal health coverage (UHC).","author":[{"dropping-particle":"","family":"United Nations","given":"","non-dropping-particle":"","parse-names":false,"suffix":""}],"id":"ITEM-1","issued":{"date-parts":[["2020"]]},"number-of-pages":"2","title":"Policy Brief : COVID-19 and Universal Health Coverage Executive summary","type":"report"},"uris":["http://www.mendeley.com/documents/?uuid=c5099ef9-1062-44d8-b500-c88e80c96310"]}],"mendeley":{"formattedCitation":"(United Nations 2020)","plainTextFormattedCitation":"(United Nations 2020)"},"properties":{"noteIndex":0},"schema":"https://github.com/citation-style-language/schema/raw/master/csl-citation.json"}</w:instrText>
      </w:r>
      <w:r>
        <w:rPr>
          <w:rFonts w:hint="default" w:ascii="Times New Roman" w:hAnsi="Times New Roman" w:eastAsia="Calibri" w:cs="Times New Roman"/>
          <w:color w:val="auto"/>
          <w:kern w:val="2"/>
          <w:sz w:val="24"/>
          <w:szCs w:val="24"/>
          <w:lang w:val="en-US" w:eastAsia="zh-CN" w:bidi="ar"/>
        </w:rPr>
        <w:fldChar w:fldCharType="separate"/>
      </w:r>
      <w:r>
        <w:rPr>
          <w:rFonts w:hint="default" w:ascii="Times New Roman" w:hAnsi="Times New Roman" w:eastAsia="Calibri" w:cs="Times New Roman"/>
          <w:color w:val="auto"/>
          <w:kern w:val="2"/>
          <w:sz w:val="24"/>
          <w:szCs w:val="24"/>
          <w:lang w:val="en-US" w:eastAsia="zh-CN" w:bidi="ar"/>
        </w:rPr>
        <w:t>(United Nations, 2020)</w:t>
      </w:r>
      <w:r>
        <w:rPr>
          <w:rFonts w:hint="default" w:ascii="Times New Roman" w:hAnsi="Times New Roman" w:eastAsia="Calibri" w:cs="Times New Roman"/>
          <w:color w:val="auto"/>
          <w:kern w:val="2"/>
          <w:sz w:val="24"/>
          <w:szCs w:val="24"/>
          <w:lang w:val="en-US" w:eastAsia="zh-CN" w:bidi="ar"/>
        </w:rPr>
        <w:fldChar w:fldCharType="end"/>
      </w:r>
      <w:r>
        <w:rPr>
          <w:rFonts w:hint="default" w:ascii="Times New Roman" w:hAnsi="Times New Roman" w:cs="Times New Roman"/>
          <w:sz w:val="24"/>
          <w:szCs w:val="24"/>
          <w:lang w:val="en-US"/>
        </w:rPr>
        <w:t>.</w:t>
      </w:r>
      <w:r>
        <w:rPr>
          <w:rFonts w:hint="default" w:ascii="Times New Roman" w:hAnsi="Times New Roman" w:cs="Times New Roman"/>
          <w:b/>
          <w:bCs/>
          <w:sz w:val="24"/>
          <w:szCs w:val="24"/>
          <w:lang w:val="zh-CN"/>
        </w:rPr>
        <w:t xml:space="preserve"> </w:t>
      </w:r>
      <w:r>
        <w:rPr>
          <w:rFonts w:hint="default" w:ascii="Times New Roman" w:hAnsi="Times New Roman" w:cs="Times New Roman"/>
          <w:sz w:val="24"/>
          <w:szCs w:val="24"/>
          <w:lang w:val="zh-CN"/>
        </w:rPr>
        <w:t>UHC merupakan kondisi dimana seluruh individu dan kelompok mendapatkan pelayanan kesehatan dengan mudah tanpa kesulitan dalam hal biaya</w:t>
      </w:r>
      <w:r>
        <w:rPr>
          <w:rFonts w:hint="default" w:ascii="Times New Roman" w:hAnsi="Times New Roman" w:cs="Times New Roman"/>
          <w:b/>
          <w:bCs/>
          <w:sz w:val="24"/>
          <w:szCs w:val="24"/>
          <w:lang w:val="zh-CN"/>
        </w:rPr>
        <w:t xml:space="preserve">. </w:t>
      </w:r>
      <w:r>
        <w:rPr>
          <w:rFonts w:hint="default" w:ascii="Times New Roman" w:hAnsi="Times New Roman" w:cs="Times New Roman"/>
          <w:sz w:val="24"/>
          <w:szCs w:val="24"/>
          <w:lang w:val="zh-CN"/>
        </w:rPr>
        <w:t>Beberapa negara berkembang berbondong bondong berupaya untuk mencapai UHC</w:t>
      </w:r>
      <w:r>
        <w:rPr>
          <w:rFonts w:hint="default" w:ascii="Times New Roman" w:hAnsi="Times New Roman" w:cs="Times New Roman"/>
          <w:sz w:val="24"/>
          <w:szCs w:val="24"/>
          <w:lang w:val="en-US"/>
        </w:rPr>
        <w:t xml:space="preserve"> </w:t>
      </w:r>
      <w:r>
        <w:rPr>
          <w:rFonts w:hint="default" w:ascii="Times New Roman" w:hAnsi="Times New Roman" w:eastAsia="Calibri" w:cs="Times New Roman"/>
          <w:color w:val="auto"/>
          <w:kern w:val="2"/>
          <w:sz w:val="24"/>
          <w:szCs w:val="24"/>
          <w:lang w:val="en-US" w:eastAsia="zh-CN" w:bidi="ar"/>
        </w:rPr>
        <w:fldChar w:fldCharType="begin" w:fldLock="1"/>
      </w:r>
      <w:r>
        <w:rPr>
          <w:rFonts w:hint="default" w:ascii="Times New Roman" w:hAnsi="Times New Roman" w:eastAsia="Calibri" w:cs="Times New Roman"/>
          <w:color w:val="auto"/>
          <w:kern w:val="2"/>
          <w:sz w:val="24"/>
          <w:szCs w:val="24"/>
          <w:lang w:val="en-US" w:eastAsia="zh-CN" w:bidi="ar"/>
        </w:rPr>
        <w:instrText xml:space="preserve">ADDIN CSL_CITATION {"citationItems":[{"id":"ITEM-1","itemData":{"abstract":"In the space of nine months, COVID-19 has spread to more than 190 countries, with over 30 million cases reported. Over one million lives have been lost. The pandemic has laid bare long-ignored risks, including inadequate health systems, gaps in social protection and structural inequalities. It has also brought home the importance of basic public health, and strong health systems and emergency preparedness, as well as the resilience of a population in the face of a new virus or pandemic, lending ever greater urgency to the quest for universal health coverage (UHC).","author":[{"dropping-particle":"","family":"United Nations","given":"","non-dropping-particle":"","parse-names":false,"suffix":""}],"id":"ITEM-1","issued":{"date-parts":[["2020"]]},"number-of-pages":"2","title":"Policy Brief : COVID-19 and Universal Health Coverage Executive summary","type":"report"},"uris":["http://www.mendeley.com/documents/?uuid=c5099ef9-1062-44d8-b500-c88e80c96310"]}],"mendeley":{"formattedCitation":"(United Nations 2020)","plainTextFormattedCitation":"(United Nations 2020)"},"properties":{"noteIndex":0},"schema":"https://github.com/citation-style-language/schema/raw/master/csl-citation.json"}</w:instrText>
      </w:r>
      <w:r>
        <w:rPr>
          <w:rFonts w:hint="default" w:ascii="Times New Roman" w:hAnsi="Times New Roman" w:eastAsia="Calibri" w:cs="Times New Roman"/>
          <w:color w:val="auto"/>
          <w:kern w:val="2"/>
          <w:sz w:val="24"/>
          <w:szCs w:val="24"/>
          <w:lang w:val="en-US" w:eastAsia="zh-CN" w:bidi="ar"/>
        </w:rPr>
        <w:fldChar w:fldCharType="separate"/>
      </w:r>
      <w:r>
        <w:rPr>
          <w:rFonts w:hint="default" w:ascii="Times New Roman" w:hAnsi="Times New Roman" w:eastAsia="Calibri" w:cs="Times New Roman"/>
          <w:color w:val="auto"/>
          <w:kern w:val="2"/>
          <w:sz w:val="24"/>
          <w:szCs w:val="24"/>
          <w:lang w:val="en-US" w:eastAsia="zh-CN" w:bidi="ar"/>
        </w:rPr>
        <w:t>(United Nations, 2020)</w:t>
      </w:r>
      <w:r>
        <w:rPr>
          <w:rFonts w:hint="default" w:ascii="Times New Roman" w:hAnsi="Times New Roman" w:eastAsia="Calibri" w:cs="Times New Roman"/>
          <w:color w:val="auto"/>
          <w:kern w:val="2"/>
          <w:sz w:val="24"/>
          <w:szCs w:val="24"/>
          <w:lang w:val="en-US" w:eastAsia="zh-CN" w:bidi="ar"/>
        </w:rPr>
        <w:fldChar w:fldCharType="end"/>
      </w:r>
      <w:r>
        <w:rPr>
          <w:rFonts w:hint="default" w:ascii="Times New Roman" w:hAnsi="Times New Roman" w:cs="Times New Roman"/>
          <w:sz w:val="24"/>
          <w:szCs w:val="24"/>
          <w:lang w:val="zh-CN"/>
        </w:rPr>
        <w:t>.</w:t>
      </w:r>
      <w:r>
        <w:rPr>
          <w:rFonts w:hint="default" w:ascii="Times New Roman" w:hAnsi="Times New Roman" w:cs="Times New Roman"/>
          <w:sz w:val="24"/>
          <w:szCs w:val="24"/>
          <w:lang w:val="en-US"/>
        </w:rPr>
        <w:t xml:space="preserve"> U</w:t>
      </w:r>
      <w:r>
        <w:rPr>
          <w:rFonts w:hint="default" w:ascii="Times New Roman" w:hAnsi="Times New Roman" w:cs="Times New Roman"/>
          <w:sz w:val="24"/>
          <w:szCs w:val="24"/>
          <w:lang w:val="zh-CN"/>
        </w:rPr>
        <w:t xml:space="preserve">paya Indonesia untuk memberikan pelayanan kesehatan dalam rangka menginisiasi UHC adalah dengan meluncurkan program Jaminan Kesehatan Nasional (JKN). Program JKN diamanatkan dalam Undang-Undang Republik Indonesia Nomor 40 Tahun 2004 tentang Sistem Jaminan Sosial Nasional (SJSN). JKN merupakan </w:t>
      </w:r>
      <w:r>
        <w:rPr>
          <w:rFonts w:hint="default" w:ascii="Times New Roman" w:hAnsi="Times New Roman" w:cs="Times New Roman"/>
          <w:sz w:val="24"/>
          <w:szCs w:val="24"/>
        </w:rPr>
        <w:t xml:space="preserve">bagian dari SJSN yang </w:t>
      </w:r>
      <w:r>
        <w:rPr>
          <w:rFonts w:hint="default" w:ascii="Times New Roman" w:hAnsi="Times New Roman" w:cs="Times New Roman"/>
          <w:sz w:val="24"/>
          <w:szCs w:val="24"/>
          <w:lang w:val="en-US"/>
        </w:rPr>
        <w:t>pelaksanakannya melalui</w:t>
      </w:r>
      <w:r>
        <w:rPr>
          <w:rFonts w:hint="default" w:ascii="Times New Roman" w:hAnsi="Times New Roman" w:cs="Times New Roman"/>
          <w:sz w:val="24"/>
          <w:szCs w:val="24"/>
        </w:rPr>
        <w:t xml:space="preserve"> mekanisme asuransi kesehatan yang bersifat wajib</w:t>
      </w:r>
      <w:r>
        <w:rPr>
          <w:rFonts w:hint="default" w:ascii="Times New Roman" w:hAnsi="Times New Roman" w:cs="Times New Roman"/>
          <w:sz w:val="24"/>
          <w:szCs w:val="24"/>
          <w:lang w:val="en-US"/>
        </w:rPr>
        <w:t>, dalam rangka</w:t>
      </w:r>
      <w:r>
        <w:rPr>
          <w:rFonts w:hint="default" w:ascii="Times New Roman" w:hAnsi="Times New Roman" w:cs="Times New Roman"/>
          <w:sz w:val="24"/>
          <w:szCs w:val="24"/>
        </w:rPr>
        <w:t xml:space="preserve"> memenuhi kebutuhan kesehatan masyarakat</w:t>
      </w:r>
      <w:r>
        <w:rPr>
          <w:rFonts w:hint="default" w:ascii="Times New Roman" w:hAnsi="Times New Roman" w:cs="Times New Roman"/>
          <w:sz w:val="24"/>
          <w:szCs w:val="24"/>
          <w:lang w:val="en-US"/>
        </w:rPr>
        <w:t xml:space="preserve">, baik yang </w:t>
      </w:r>
      <w:r>
        <w:rPr>
          <w:rFonts w:hint="default" w:ascii="Times New Roman" w:hAnsi="Times New Roman" w:cs="Times New Roman"/>
          <w:sz w:val="24"/>
          <w:szCs w:val="24"/>
        </w:rPr>
        <w:t>telah membayar iuran atau iurannya dibayar oleh pemerintah.</w:t>
      </w:r>
    </w:p>
    <w:p w14:paraId="07CD741B">
      <w:pPr>
        <w:pStyle w:val="141"/>
        <w:spacing w:line="360" w:lineRule="auto"/>
        <w:ind w:left="0" w:leftChars="0" w:firstLine="720" w:firstLineChars="0"/>
        <w:rPr>
          <w:rFonts w:hint="default" w:ascii="Times New Roman" w:hAnsi="Times New Roman" w:cs="Times New Roman"/>
          <w:b/>
          <w:bCs/>
          <w:color w:val="auto"/>
          <w:sz w:val="24"/>
          <w:szCs w:val="24"/>
          <w:lang w:val="zh-CN"/>
        </w:rPr>
      </w:pPr>
      <w:r>
        <w:rPr>
          <w:rFonts w:hint="default" w:ascii="Times New Roman" w:hAnsi="Times New Roman" w:cs="Times New Roman"/>
          <w:b w:val="0"/>
          <w:bCs w:val="0"/>
          <w:i w:val="0"/>
          <w:iCs w:val="0"/>
          <w:sz w:val="24"/>
          <w:szCs w:val="24"/>
        </w:rPr>
        <w:t>Undang-Undang Republik Indonesia Nomor 23 Tahun 2014 Tentang Pemerintahan Daerah</w:t>
      </w:r>
      <w:r>
        <w:rPr>
          <w:rFonts w:hint="default" w:ascii="Times New Roman" w:hAnsi="Times New Roman" w:cs="Times New Roman"/>
          <w:b w:val="0"/>
          <w:bCs w:val="0"/>
          <w:i w:val="0"/>
          <w:iCs w:val="0"/>
          <w:sz w:val="24"/>
          <w:szCs w:val="24"/>
          <w:lang w:val="en-US"/>
        </w:rPr>
        <w:t xml:space="preserve"> mengungkapkan bahwa kesehatan meru</w:t>
      </w:r>
      <w:r>
        <w:rPr>
          <w:rFonts w:hint="default" w:ascii="Times New Roman" w:hAnsi="Times New Roman" w:cs="Times New Roman"/>
          <w:sz w:val="24"/>
          <w:szCs w:val="24"/>
          <w:lang w:val="en-US"/>
        </w:rPr>
        <w:t xml:space="preserve">pakan salah satu urusan </w:t>
      </w:r>
      <w:r>
        <w:rPr>
          <w:rFonts w:hint="default" w:ascii="Times New Roman" w:hAnsi="Times New Roman" w:cs="Times New Roman"/>
          <w:sz w:val="24"/>
          <w:szCs w:val="24"/>
          <w:lang w:val="sv-SE"/>
        </w:rPr>
        <w:t xml:space="preserve">kesehatan merupakan urusan wajib yang menjadi kewenangan pemerintah daerah. </w:t>
      </w:r>
      <w:r>
        <w:rPr>
          <w:rFonts w:hint="default" w:ascii="Times New Roman" w:hAnsi="Times New Roman" w:cs="Times New Roman"/>
          <w:sz w:val="24"/>
          <w:szCs w:val="24"/>
          <w:lang w:val="zh-CN"/>
        </w:rPr>
        <w:t>Hal tersebut berarti pemerintah daerah baik provinsi maupun kabupaten atau kota bertanggung jawab terkait urusan kesehatan termasuk pencapaian UHC melalui jaminan kesehatan nasional (JKN) sebagaimana yang dilakukan oleh Kabupaten Gresik.</w:t>
      </w:r>
      <w:r>
        <w:rPr>
          <w:rFonts w:hint="default" w:ascii="Times New Roman" w:hAnsi="Times New Roman" w:cs="Times New Roman"/>
          <w:b/>
          <w:bCs/>
          <w:sz w:val="24"/>
          <w:szCs w:val="24"/>
          <w:lang w:val="zh-CN"/>
        </w:rPr>
        <w:t xml:space="preserve"> </w:t>
      </w:r>
      <w:r>
        <w:rPr>
          <w:rFonts w:hint="default" w:ascii="Times New Roman" w:hAnsi="Times New Roman" w:cs="Times New Roman"/>
          <w:sz w:val="24"/>
          <w:szCs w:val="24"/>
          <w:lang w:val="zh-CN"/>
        </w:rPr>
        <w:t xml:space="preserve">Bentuk keseriusan Kabupaten Gresik dalam mendorong terwujudnya UHC di Kabupaten Gresik, dapat dibuktikan dengan kegiatan peresmian UHC Kabupaten Gresik yang dilakukan pada 04 Oktober 2022. Pelaksanaan UHC Kabupaten </w:t>
      </w:r>
      <w:r>
        <w:rPr>
          <w:rFonts w:hint="default" w:ascii="Times New Roman" w:hAnsi="Times New Roman" w:cs="Times New Roman"/>
          <w:color w:val="auto"/>
          <w:sz w:val="24"/>
          <w:szCs w:val="24"/>
          <w:lang w:val="zh-CN"/>
        </w:rPr>
        <w:t>Gresik berdasarkan pada Peraturan Bupati Gresik Nomor 60 Tahun 2022 tentang Penyelenggaraan</w:t>
      </w:r>
      <w:r>
        <w:rPr>
          <w:rFonts w:hint="default" w:ascii="Times New Roman" w:hAnsi="Times New Roman" w:cs="Times New Roman"/>
          <w:i/>
          <w:iCs/>
          <w:color w:val="auto"/>
          <w:sz w:val="24"/>
          <w:szCs w:val="24"/>
          <w:lang w:val="zh-CN"/>
        </w:rPr>
        <w:t xml:space="preserve"> </w:t>
      </w:r>
      <w:r>
        <w:rPr>
          <w:rFonts w:hint="default" w:ascii="Times New Roman" w:hAnsi="Times New Roman" w:cs="Times New Roman"/>
          <w:color w:val="auto"/>
          <w:sz w:val="24"/>
          <w:szCs w:val="24"/>
          <w:lang w:val="zh-CN"/>
        </w:rPr>
        <w:t>UHC Dalam Program Jaminan Kesehatan Nasional di Kabupaten Gresik</w:t>
      </w:r>
      <w:r>
        <w:rPr>
          <w:rFonts w:hint="default" w:ascii="Times New Roman" w:hAnsi="Times New Roman" w:cs="Times New Roman"/>
          <w:b/>
          <w:bCs/>
          <w:color w:val="auto"/>
          <w:sz w:val="24"/>
          <w:szCs w:val="24"/>
          <w:lang w:val="zh-CN"/>
        </w:rPr>
        <w:t xml:space="preserve">. </w:t>
      </w:r>
    </w:p>
    <w:p w14:paraId="3D98E7BC">
      <w:pPr>
        <w:pStyle w:val="141"/>
        <w:spacing w:line="360" w:lineRule="auto"/>
        <w:ind w:left="0" w:leftChars="0" w:firstLine="720" w:firstLineChars="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Dalam rangka pemenuhan UHC minim 98% dari total penduduk daerah, sekaligus sebagai pertanggungjawaban pemerintah daerah kepada masyarakat dalam hal pelayanan kesehatan sebagaimana yang tercantum pada pasal 10 Peraturan Bupati Gresik Nomor 60 Tahun 2022, pemerintah Kabupaten Gresik mencanangkan jaminan kesehatan gratis, yang mana bisa diakses hanya dengan menunjukkan KTP dan/atau Kartu Keluarga (KK) atau UHC PBID. Dari awal diberlakukan sampai saat ini, capaian UHC PBID di Kabupaten Gresik terus mengalami kenaikan. Atas capaiannya tersebut, Kabupaten Gresik berhasil meraih UHC</w:t>
      </w:r>
      <w:r>
        <w:rPr>
          <w:rFonts w:hint="default" w:ascii="Times New Roman" w:hAnsi="Times New Roman" w:cs="Times New Roman"/>
          <w:i/>
          <w:iCs/>
          <w:color w:val="auto"/>
          <w:sz w:val="24"/>
          <w:szCs w:val="24"/>
          <w:lang w:val="zh-CN"/>
        </w:rPr>
        <w:t xml:space="preserve"> award</w:t>
      </w:r>
      <w:r>
        <w:rPr>
          <w:rFonts w:hint="default" w:ascii="Times New Roman" w:hAnsi="Times New Roman" w:cs="Times New Roman"/>
          <w:color w:val="auto"/>
          <w:sz w:val="24"/>
          <w:szCs w:val="24"/>
          <w:lang w:val="zh-CN"/>
        </w:rPr>
        <w:t xml:space="preserve"> dari pemerintah pusat karena berhasil mencapai tingkat kepesertaan UHC yang tinggi.</w:t>
      </w:r>
    </w:p>
    <w:p w14:paraId="3E4E428B">
      <w:pPr>
        <w:pStyle w:val="141"/>
        <w:spacing w:line="360" w:lineRule="auto"/>
        <w:ind w:left="0" w:leftChars="0" w:firstLine="720" w:firstLineChars="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Pelaksanaan UHC PBID, dilaksanakan secara merata di seluruh wilayah Kabupaten Gresik, termasuk di Pulau Bawean. Pulau Bawean sendiri merupakan daerah terluar Kabupaten Gresik yang berbentuk kepulauan dengan jarak kurang lebih 150 KM sebelah utara dari pusat Kabupaten. Pulau Bawean hanya dapat ditempuh dengan menggunakan transportasi laut dan udara, dengan waktu tempuh 4-9 jam. Sebagai daerah terluar Pulau Bawean tentunya berbeda dengan daerah Kabupaten Gresik yang lain, yang mana tentunya berpengaruh pula dalam pelaksanaan pelayanan kesehatan. </w:t>
      </w:r>
    </w:p>
    <w:p w14:paraId="3E646903">
      <w:pPr>
        <w:pStyle w:val="141"/>
        <w:spacing w:line="360" w:lineRule="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Selain cakupan kepesertaan, poin penting dalam UHC adalah terkait pelayanan kesehatan yang diberikan </w:t>
      </w:r>
      <w:r>
        <w:rPr>
          <w:rFonts w:hint="default" w:ascii="Times New Roman" w:hAnsi="Times New Roman" w:eastAsia="SimSun" w:cs="Times New Roman"/>
          <w:i w:val="0"/>
          <w:iCs w:val="0"/>
          <w:caps w:val="0"/>
          <w:color w:val="auto"/>
          <w:spacing w:val="0"/>
          <w:sz w:val="24"/>
          <w:szCs w:val="24"/>
          <w:highlight w:val="none"/>
          <w:shd w:val="clear" w:fill="FFFFFF"/>
          <w:lang w:val="en-US"/>
        </w:rPr>
        <w:t>(Machdum, 2020)</w:t>
      </w:r>
      <w:r>
        <w:rPr>
          <w:rFonts w:hint="default" w:ascii="Times New Roman" w:hAnsi="Times New Roman" w:cs="Times New Roman"/>
          <w:b/>
          <w:bCs/>
          <w:color w:val="auto"/>
          <w:sz w:val="24"/>
          <w:szCs w:val="24"/>
          <w:lang w:val="zh-CN"/>
        </w:rPr>
        <w:t>.</w:t>
      </w:r>
      <w:r>
        <w:rPr>
          <w:rFonts w:hint="default" w:ascii="Times New Roman" w:hAnsi="Times New Roman" w:cs="Times New Roman"/>
          <w:color w:val="auto"/>
          <w:sz w:val="24"/>
          <w:szCs w:val="24"/>
          <w:lang w:val="zh-CN"/>
        </w:rPr>
        <w:t xml:space="preserve"> Pulau Bawean sendiri memilki 3 fasilitas yang telah bekerja sama dengan BPJS Kesehatan, yakni Puskesmas Sangkapura, Puskesmas Tambak, dan RSUD Ummar Mas’ud. Terdapat pula jarring pengaman puskesmas yakni puskesmas pembantu yang berjumlah 7 puskesmas. Fasilitas yang ada dapat dibilang minim untuk penduduk Pulau Bawean yang kurang lebih 84.000 jiwa yang terbagi di dua kecamatan dan 30 Desa. Meskipun memiliki puskesmas pembantu, puskesmas pembantu dinilai masih kurang dilihat dari Peraturan Menteri Kesehatan Nomor 43 tahun 2019 tentang Pusat Kesehatan Masyarakat, yang mana dikatakan bahwa puskesmas pembantu didirikan dengan perbandingan satu puskesmas pembantu memberikan pelayanan bagi dua sampai dengan tiga desa atau kelurahan</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color w:val="auto"/>
          <w:sz w:val="24"/>
          <w:szCs w:val="24"/>
          <w:lang w:val="zh-CN"/>
        </w:rPr>
        <w:t>Kondisi tersebut ditambah lagi kondisi jalan yang kurang proper dan rusaknya sebagian jalan lingkar Bawean, yang mana sangat mempengaruhi kemudahan akses dalam menjangkau layanan kesehatan, terutama jika dihadapkan pada kondisi yang darurat. Hal tersebut bertentangan dengan asas-asas penyelenggaraan pelayanan publik dalam Undang-Undang Nomor 25 Tahun 2009 tentang Pelayanan Publik yang mana pelayanan publik harus memperhatikan asas kecepatan, kemudahan dan keterjangkauan.</w:t>
      </w:r>
    </w:p>
    <w:p w14:paraId="4106A986">
      <w:pPr>
        <w:pStyle w:val="141"/>
        <w:spacing w:line="360" w:lineRule="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ab/>
      </w:r>
      <w:r>
        <w:rPr>
          <w:rFonts w:hint="default" w:ascii="Times New Roman" w:hAnsi="Times New Roman" w:cs="Times New Roman"/>
          <w:color w:val="auto"/>
          <w:sz w:val="24"/>
          <w:szCs w:val="24"/>
          <w:lang w:val="zh-CN"/>
        </w:rPr>
        <w:t>Undang-Undang Nomor 17 Tahun 2023 tentang Tenaga Kesehatan Pasal 202 menjelaskan bahwa pemerintah dan pemerintah daerah wajib memenuhi kebutuhan akan tenaga kesehatan, baik dalam jumlah, jenis, maupun kompetensi secara merata dalam menjamin kelangsungan pembangunan di bidang kesehatan. Akan tetapi pada kenyataannya, masih terjadi kekurangan tenaga kesehatan pada fasilitas kesehatan di Pulau Bawean. Selain itu, Pulau Bawean juga mengalami kekurangan dokter spesialis di rumah sakit dan tentunya akan berpengaruh terhadap pemberian pelayanan UHC tingkat rujukan di Pulau Bawean. Fasilitas rujukan ke Gresik daratan tentunya membutuhkan banyak waktu, mulai dari perjalanan ke pelabuhan atau bandara, belum lagi perjalanan penyeberangan atau penerbangan, yang mana sangat tidak memungkinkan jika berada dalam kondisi darurat yang membutuhkan penanganan cepat.</w:t>
      </w:r>
    </w:p>
    <w:p w14:paraId="08919818">
      <w:pPr>
        <w:pStyle w:val="141"/>
        <w:spacing w:line="360" w:lineRule="auto"/>
        <w:ind w:left="0" w:leftChars="0" w:firstLine="720" w:firstLineChars="0"/>
        <w:rPr>
          <w:rFonts w:hint="default" w:ascii="Times New Roman" w:hAnsi="Times New Roman" w:cs="Times New Roman"/>
          <w:color w:val="auto"/>
          <w:sz w:val="24"/>
          <w:szCs w:val="24"/>
          <w:lang w:val="zh-CN"/>
        </w:rPr>
      </w:pPr>
      <w:r>
        <w:rPr>
          <w:rFonts w:hint="default" w:ascii="Times New Roman" w:hAnsi="Times New Roman" w:eastAsia="Calibri" w:cs="Times New Roman"/>
          <w:color w:val="auto"/>
          <w:kern w:val="2"/>
          <w:sz w:val="24"/>
          <w:szCs w:val="24"/>
          <w:highlight w:val="none"/>
          <w:lang w:val="en-US" w:eastAsia="zh-CN" w:bidi="ar"/>
        </w:rPr>
        <w:t xml:space="preserve">Edward dalam </w:t>
      </w:r>
      <w:r>
        <w:rPr>
          <w:rFonts w:hint="default" w:ascii="Times New Roman" w:hAnsi="Times New Roman" w:eastAsia="Calibri" w:cs="Times New Roman"/>
          <w:color w:val="auto"/>
          <w:kern w:val="2"/>
          <w:sz w:val="24"/>
          <w:szCs w:val="24"/>
          <w:lang w:val="en-US" w:eastAsia="zh-CN" w:bidi="ar"/>
        </w:rPr>
        <w:fldChar w:fldCharType="begin" w:fldLock="1"/>
      </w:r>
      <w:r>
        <w:rPr>
          <w:rFonts w:hint="default" w:ascii="Times New Roman" w:hAnsi="Times New Roman" w:eastAsia="Calibri" w:cs="Times New Roman"/>
          <w:color w:val="auto"/>
          <w:kern w:val="2"/>
          <w:sz w:val="24"/>
          <w:szCs w:val="24"/>
          <w:lang w:val="en-US" w:eastAsia="zh-CN" w:bidi="ar"/>
        </w:rPr>
        <w:instrText xml:space="preserve">ADDIN CSL_CITATION {"citationItems":[{"id":"ITEM-1","itemData":{"ISBN":"9786239474362","abstract":"Buku kebijakan publik ini diterbitkan sebagai bahan pengajaran dan bahan penambahan wawasan serta keilmuan khalayak umum, karena akan banyak berkontribusi, baik dibidang riset, pengetahuan, wawasan dan keilmuan bagi para calon sarjana maupun pembaca …","author":[{"dropping-particle":"","family":"Pramono","given":"Joko","non-dropping-particle":"","parse-names":false,"suffix":""}],"container-title":"Kebijakan Publik","id":"ITEM-1","issued":{"date-parts":[["2020"]]},"number-of-pages":"1-144","title":"Implementasi dan Evaluasi Kebijakan Publik","type":"book"},"uris":["http://www.mendeley.com/documents/?uuid=2037b264-74fe-4c64-918a-e57b83c13ae3"]}],"mendeley":{"formattedCitation":"(Pramono, 2020)","plainTextFormattedCitation":"(Pramono, 2020)"},"properties":{"noteIndex":0},"schema":"https://github.com/citation-style-language/schema/raw/master/csl-citation.json"}</w:instrText>
      </w:r>
      <w:r>
        <w:rPr>
          <w:rFonts w:hint="default" w:ascii="Times New Roman" w:hAnsi="Times New Roman" w:eastAsia="Calibri" w:cs="Times New Roman"/>
          <w:color w:val="auto"/>
          <w:kern w:val="2"/>
          <w:sz w:val="24"/>
          <w:szCs w:val="24"/>
          <w:lang w:val="en-US" w:eastAsia="zh-CN" w:bidi="ar"/>
        </w:rPr>
        <w:fldChar w:fldCharType="separate"/>
      </w:r>
      <w:r>
        <w:rPr>
          <w:rFonts w:hint="default" w:ascii="Times New Roman" w:hAnsi="Times New Roman" w:eastAsia="Calibri" w:cs="Times New Roman"/>
          <w:color w:val="auto"/>
          <w:kern w:val="2"/>
          <w:sz w:val="24"/>
          <w:szCs w:val="24"/>
          <w:lang w:val="en-US" w:eastAsia="zh-CN" w:bidi="ar"/>
        </w:rPr>
        <w:t>Pramono (2020)</w:t>
      </w:r>
      <w:r>
        <w:rPr>
          <w:rFonts w:hint="default" w:ascii="Times New Roman" w:hAnsi="Times New Roman" w:eastAsia="Calibri" w:cs="Times New Roman"/>
          <w:color w:val="auto"/>
          <w:kern w:val="2"/>
          <w:sz w:val="24"/>
          <w:szCs w:val="24"/>
          <w:lang w:val="en-US" w:eastAsia="zh-CN" w:bidi="ar"/>
        </w:rPr>
        <w:fldChar w:fldCharType="end"/>
      </w:r>
      <w:r>
        <w:rPr>
          <w:rFonts w:hint="default" w:ascii="Times New Roman" w:hAnsi="Times New Roman" w:eastAsia="Calibri" w:cs="Times New Roman"/>
          <w:color w:val="auto"/>
          <w:kern w:val="2"/>
          <w:sz w:val="24"/>
          <w:szCs w:val="24"/>
          <w:lang w:val="en-US" w:eastAsia="zh-CN" w:bidi="ar"/>
        </w:rPr>
        <w:t xml:space="preserve"> mengungkapkan bahwa k</w:t>
      </w:r>
      <w:r>
        <w:rPr>
          <w:rFonts w:hint="default" w:ascii="Times New Roman" w:hAnsi="Times New Roman" w:cs="Times New Roman"/>
          <w:color w:val="auto"/>
          <w:sz w:val="24"/>
          <w:szCs w:val="24"/>
          <w:lang w:val="zh-CN"/>
        </w:rPr>
        <w:t>omunikasi kebijakan kelompok sasaran (</w:t>
      </w:r>
      <w:r>
        <w:rPr>
          <w:rFonts w:hint="default" w:ascii="Times New Roman" w:hAnsi="Times New Roman" w:cs="Times New Roman"/>
          <w:i/>
          <w:iCs/>
          <w:color w:val="auto"/>
          <w:sz w:val="24"/>
          <w:szCs w:val="24"/>
          <w:lang w:val="zh-CN"/>
        </w:rPr>
        <w:t>target groups</w:t>
      </w:r>
      <w:r>
        <w:rPr>
          <w:rFonts w:hint="default" w:ascii="Times New Roman" w:hAnsi="Times New Roman" w:cs="Times New Roman"/>
          <w:color w:val="auto"/>
          <w:sz w:val="24"/>
          <w:szCs w:val="24"/>
          <w:lang w:val="zh-CN"/>
        </w:rPr>
        <w:t xml:space="preserve">) harus menginformasikan terkait apa yang menjadi tujuan dan sasaran kebijakan, dengan kata lain harus mengetahui makna dari kebijakan. Namun pada kenyataannya, dalam pelaksanaan UHC banyak masyarakat yang masih belum memahami bagaimana pelaksanaan pelayanan kesehatan tersebut. Dalam hal komunikasi melalui sosialisasi, tidak semua masyarakat menghadiri sosialisasi UHC yang dilakukan dalam kegiatan Musyawarah Masyarakat Desa (MMD). Peserta sosialisasi banyak berasal dari perangkat desa dan beberapa tokoh Masyarakat dan beberapa tokoh masyarakat dan untuk masyarakat luas hasil sosialisasi didistribusikan melalui grup WA. Sedangkan di Pulau Bawean masih terdapat permasalahan terkait ketidakmerataan jaringan internet. </w:t>
      </w:r>
    </w:p>
    <w:p w14:paraId="6F6DCC01">
      <w:pPr>
        <w:pStyle w:val="141"/>
        <w:spacing w:line="360" w:lineRule="auto"/>
        <w:ind w:left="0" w:leftChars="0" w:firstLine="720" w:firstLineChars="0"/>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lang w:val="zh-CN"/>
        </w:rPr>
        <w:t>Maka dari itu perlu dilakukan evaluasi untuk melihat bagaimana pelaksanaan kebijakan dengan tujuan perbaikan pelaksanaan. Dalam melakukan evaluasi, peneliti menggunakan model evaluasi formatif Michael Scriven pada tahun 1967 yang dikutip dari buku Muh. Firyal Akbar &amp; Mohi (2018). Selama pelaksanaan kebijakan, program dapat dilakukan evaluasi formatif sesuai dengan kebutuhan, diantaranya digunakan untuk mengukur hasil pelaksanaan program secara periodik, mengukur apakah klien atau partisipan bergerak ke arah tujuan yang telah direncanakan dan mengukur apakah sumber-sumber telah dipergunakan sesuai dengan rencana.</w:t>
      </w:r>
    </w:p>
    <w:p w14:paraId="208B4814">
      <w:pPr>
        <w:spacing w:line="360" w:lineRule="auto"/>
        <w:jc w:val="both"/>
        <w:rPr>
          <w:rFonts w:hint="default" w:ascii="Times New Roman" w:hAnsi="Times New Roman" w:cs="Times New Roman"/>
          <w:b/>
          <w:bCs/>
          <w:color w:val="auto"/>
          <w:sz w:val="24"/>
          <w:szCs w:val="24"/>
          <w:lang w:val="en-US"/>
        </w:rPr>
      </w:pPr>
      <w:bookmarkStart w:id="1" w:name="3.__Literatur_Review_/_Studi_Kepustakaan"/>
      <w:bookmarkEnd w:id="1"/>
      <w:r>
        <w:rPr>
          <w:rFonts w:hint="default" w:ascii="Times New Roman" w:hAnsi="Times New Roman" w:cs="Times New Roman"/>
          <w:b/>
          <w:bCs/>
          <w:color w:val="auto"/>
          <w:sz w:val="24"/>
          <w:szCs w:val="24"/>
          <w:lang w:val="en-US"/>
        </w:rPr>
        <w:t>Methode</w:t>
      </w:r>
    </w:p>
    <w:p w14:paraId="29EA13A4">
      <w:pPr>
        <w:spacing w:line="360" w:lineRule="auto"/>
        <w:ind w:firstLine="720" w:firstLineChars="0"/>
        <w:jc w:val="both"/>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highlight w:val="none"/>
        </w:rPr>
        <w:t xml:space="preserve">Penelitian ini menggunakan menggunakan jenis penelitian deskriptif </w:t>
      </w:r>
      <w:r>
        <w:rPr>
          <w:rFonts w:hint="default" w:ascii="Times New Roman" w:hAnsi="Times New Roman" w:cs="Times New Roman"/>
          <w:color w:val="auto"/>
          <w:sz w:val="24"/>
          <w:szCs w:val="24"/>
          <w:highlight w:val="none"/>
          <w:lang w:val="en-US"/>
        </w:rPr>
        <w:t xml:space="preserve">dengan pendekatan </w:t>
      </w:r>
      <w:r>
        <w:rPr>
          <w:rFonts w:hint="default" w:ascii="Times New Roman" w:hAnsi="Times New Roman" w:cs="Times New Roman"/>
          <w:color w:val="auto"/>
          <w:sz w:val="24"/>
          <w:szCs w:val="24"/>
          <w:highlight w:val="none"/>
        </w:rPr>
        <w:t xml:space="preserve">kualitatif. </w:t>
      </w:r>
      <w:r>
        <w:rPr>
          <w:rFonts w:hint="default" w:ascii="Times New Roman" w:hAnsi="Times New Roman" w:eastAsia="SimSun" w:cs="Times New Roman"/>
          <w:color w:val="auto"/>
          <w:sz w:val="24"/>
          <w:szCs w:val="24"/>
        </w:rPr>
        <w:t xml:space="preserve">Penelitian deskriptif, yaitu penelitian yang menjelaskan </w:t>
      </w:r>
      <w:r>
        <w:rPr>
          <w:rFonts w:hint="default" w:ascii="Times New Roman" w:hAnsi="Times New Roman" w:eastAsia="SimSun" w:cs="Times New Roman"/>
          <w:color w:val="auto"/>
          <w:sz w:val="24"/>
          <w:szCs w:val="24"/>
          <w:lang w:val="en-US"/>
        </w:rPr>
        <w:t>secara mendalam apa yang menjadi sasaran dalam penelitian (Anggara, 2015).</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rPr>
        <w:t>Oleh karena itu, penelitian ini dilakukan dengan mengumpulkan data baik tertulis maupun lisan untuk menghasilkan deskripsi yang mendalam terkait dengan fenomena penelitian yang dibahas yakni evaluasi universal health coverage (UHC) dalam program jaminan kesehatan nasional di Pulau Bawean Kabupaten Gresik.</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highlight w:val="none"/>
        </w:rPr>
        <w:t xml:space="preserve">Bogdan dan Taylor </w:t>
      </w:r>
      <w:r>
        <w:rPr>
          <w:rFonts w:hint="default" w:ascii="Times New Roman" w:hAnsi="Times New Roman" w:eastAsia="Times New Roman" w:cs="Times New Roman"/>
          <w:color w:val="auto"/>
          <w:sz w:val="24"/>
          <w:szCs w:val="24"/>
          <w:highlight w:val="none"/>
        </w:rPr>
        <w:t>dalam Moleong (2021) menyatakan metode penelitian kualitatif sebagai suatu pendekatan penelitian yang mana menghasilkan data deskriptif baik</w:t>
      </w:r>
      <w:r>
        <w:rPr>
          <w:rFonts w:hint="default" w:ascii="Times New Roman" w:hAnsi="Times New Roman" w:eastAsia="Times New Roman" w:cs="Times New Roman"/>
          <w:color w:val="auto"/>
          <w:sz w:val="24"/>
          <w:szCs w:val="24"/>
          <w:highlight w:val="none"/>
          <w:lang w:val="en-US"/>
        </w:rPr>
        <w:t xml:space="preserve"> </w:t>
      </w:r>
      <w:r>
        <w:rPr>
          <w:rFonts w:hint="default" w:ascii="Times New Roman" w:hAnsi="Times New Roman" w:eastAsia="Times New Roman" w:cs="Times New Roman"/>
          <w:color w:val="auto"/>
          <w:sz w:val="24"/>
          <w:szCs w:val="24"/>
          <w:highlight w:val="none"/>
        </w:rPr>
        <w:t>tertulis maupun lisan</w:t>
      </w:r>
      <w:r>
        <w:rPr>
          <w:rFonts w:hint="default" w:ascii="Times New Roman" w:hAnsi="Times New Roman" w:eastAsia="Times New Roman" w:cs="Times New Roman"/>
          <w:color w:val="auto"/>
          <w:sz w:val="24"/>
          <w:szCs w:val="24"/>
          <w:highlight w:val="none"/>
          <w:lang w:val="en-US"/>
        </w:rPr>
        <w:t xml:space="preserve"> yang</w:t>
      </w:r>
      <w:r>
        <w:rPr>
          <w:rFonts w:hint="default" w:ascii="Times New Roman" w:hAnsi="Times New Roman" w:eastAsia="Times New Roman" w:cs="Times New Roman"/>
          <w:color w:val="auto"/>
          <w:sz w:val="24"/>
          <w:szCs w:val="24"/>
          <w:highlight w:val="none"/>
        </w:rPr>
        <w:t xml:space="preserve"> berasal dari </w:t>
      </w:r>
      <w:r>
        <w:rPr>
          <w:rFonts w:hint="default" w:ascii="Times New Roman" w:hAnsi="Times New Roman" w:eastAsia="Times New Roman" w:cs="Times New Roman"/>
          <w:color w:val="auto"/>
          <w:sz w:val="24"/>
          <w:szCs w:val="24"/>
          <w:highlight w:val="none"/>
          <w:lang w:val="en-US"/>
        </w:rPr>
        <w:t>individu</w:t>
      </w:r>
      <w:r>
        <w:rPr>
          <w:rFonts w:hint="default" w:ascii="Times New Roman" w:hAnsi="Times New Roman" w:eastAsia="Times New Roman" w:cs="Times New Roman"/>
          <w:color w:val="auto"/>
          <w:sz w:val="24"/>
          <w:szCs w:val="24"/>
          <w:highlight w:val="none"/>
        </w:rPr>
        <w:t xml:space="preserve"> dan tingkah laku yang diamati.</w:t>
      </w:r>
      <w:r>
        <w:rPr>
          <w:rFonts w:hint="default" w:ascii="Times New Roman" w:hAnsi="Times New Roman" w:eastAsia="Times New Roman" w:cs="Times New Roman"/>
          <w:color w:val="auto"/>
          <w:sz w:val="24"/>
          <w:szCs w:val="24"/>
          <w:highlight w:val="none"/>
          <w:lang w:val="en-US"/>
        </w:rPr>
        <w:t xml:space="preserve"> Pengumpulan data dalam penelitian ini </w:t>
      </w:r>
      <w:r>
        <w:rPr>
          <w:rFonts w:hint="default" w:ascii="Times New Roman" w:hAnsi="Times New Roman" w:cs="Times New Roman"/>
          <w:color w:val="auto"/>
          <w:sz w:val="24"/>
          <w:szCs w:val="24"/>
          <w:lang w:val="sv-SE"/>
        </w:rPr>
        <w:t>melalui observasi, wawancara, dokumentasi.</w:t>
      </w:r>
      <w:r>
        <w:rPr>
          <w:rFonts w:hint="default" w:ascii="Times New Roman" w:hAnsi="Times New Roman" w:cs="Times New Roman"/>
          <w:color w:val="auto"/>
          <w:sz w:val="24"/>
          <w:szCs w:val="24"/>
          <w:lang w:val="en-US"/>
        </w:rPr>
        <w:t>T</w:t>
      </w:r>
      <w:r>
        <w:rPr>
          <w:rFonts w:hint="default" w:ascii="Times New Roman" w:hAnsi="Times New Roman" w:cs="Times New Roman"/>
          <w:color w:val="auto"/>
          <w:sz w:val="24"/>
          <w:szCs w:val="24"/>
          <w:lang w:val="sv-SE"/>
        </w:rPr>
        <w:t>eknik penentuan informan menggunakan purposive sampling.</w:t>
      </w:r>
      <w:r>
        <w:rPr>
          <w:rFonts w:hint="default" w:ascii="Times New Roman" w:hAnsi="Times New Roman" w:cs="Times New Roman"/>
          <w:color w:val="auto"/>
          <w:sz w:val="24"/>
          <w:szCs w:val="24"/>
          <w:lang w:val="en-US"/>
        </w:rPr>
        <w:t xml:space="preserve"> </w:t>
      </w:r>
      <w:r>
        <w:rPr>
          <w:rFonts w:hint="default" w:ascii="Times New Roman" w:hAnsi="Times New Roman" w:cs="Times New Roman"/>
          <w:b w:val="0"/>
          <w:bCs w:val="0"/>
          <w:i/>
          <w:iCs/>
          <w:color w:val="auto"/>
          <w:sz w:val="24"/>
          <w:szCs w:val="24"/>
          <w:highlight w:val="none"/>
          <w:lang w:val="en-US"/>
        </w:rPr>
        <w:t>Purposive sampling</w:t>
      </w:r>
      <w:r>
        <w:rPr>
          <w:rFonts w:hint="default" w:ascii="Times New Roman" w:hAnsi="Times New Roman" w:cs="Times New Roman"/>
          <w:b w:val="0"/>
          <w:bCs w:val="0"/>
          <w:color w:val="auto"/>
          <w:sz w:val="24"/>
          <w:szCs w:val="24"/>
          <w:highlight w:val="none"/>
          <w:lang w:val="en-US"/>
        </w:rPr>
        <w:t xml:space="preserve"> merupakan teknik  penentuan  informan, dengan karakteristik tertentu. Karakteristik tertentu yang dimaksud adalah pihak atau seseorang yang memiliki dianggap paling mengetahui terkait fenomena penelitian, sebagaimana yang dikatakan oleh Anggara (2015) t</w:t>
      </w:r>
      <w:r>
        <w:rPr>
          <w:rFonts w:hint="default" w:ascii="Times New Roman" w:hAnsi="Times New Roman" w:eastAsia="SimSun" w:cs="Times New Roman"/>
          <w:b w:val="0"/>
          <w:bCs w:val="0"/>
          <w:color w:val="auto"/>
          <w:sz w:val="24"/>
          <w:szCs w:val="24"/>
          <w:highlight w:val="none"/>
        </w:rPr>
        <w:t xml:space="preserve">eknik </w:t>
      </w:r>
      <w:r>
        <w:rPr>
          <w:rFonts w:hint="default" w:ascii="Times New Roman" w:hAnsi="Times New Roman" w:eastAsia="SimSun" w:cs="Times New Roman"/>
          <w:b w:val="0"/>
          <w:bCs w:val="0"/>
          <w:i/>
          <w:iCs/>
          <w:color w:val="auto"/>
          <w:sz w:val="24"/>
          <w:szCs w:val="24"/>
          <w:highlight w:val="none"/>
          <w:lang w:val="en-US"/>
        </w:rPr>
        <w:t>purposive sampling</w:t>
      </w:r>
      <w:r>
        <w:rPr>
          <w:rFonts w:hint="default" w:ascii="Times New Roman" w:hAnsi="Times New Roman" w:eastAsia="SimSun" w:cs="Times New Roman"/>
          <w:b w:val="0"/>
          <w:bCs w:val="0"/>
          <w:color w:val="auto"/>
          <w:sz w:val="24"/>
          <w:szCs w:val="24"/>
          <w:highlight w:val="none"/>
          <w:lang w:val="en-US"/>
        </w:rPr>
        <w:t xml:space="preserve"> pemilihan subjek penelitian didasarkan pada ciri tertentu yang dianggap mempunyai keterkaitan yang erat dengan topik penelitian. D</w:t>
      </w:r>
      <w:r>
        <w:rPr>
          <w:rFonts w:hint="default" w:ascii="Times New Roman" w:hAnsi="Times New Roman" w:eastAsia="SimSun" w:cs="Times New Roman"/>
          <w:color w:val="auto"/>
          <w:sz w:val="24"/>
          <w:szCs w:val="24"/>
        </w:rPr>
        <w:t xml:space="preserve">engan </w:t>
      </w:r>
      <w:r>
        <w:rPr>
          <w:rFonts w:hint="default" w:ascii="Times New Roman" w:hAnsi="Times New Roman" w:eastAsia="SimSun" w:cs="Times New Roman"/>
          <w:color w:val="auto"/>
          <w:sz w:val="24"/>
          <w:szCs w:val="24"/>
          <w:lang w:val="en-US"/>
        </w:rPr>
        <w:t xml:space="preserve">digunakannya teknik </w:t>
      </w:r>
      <w:r>
        <w:rPr>
          <w:rFonts w:hint="default" w:ascii="Times New Roman" w:hAnsi="Times New Roman" w:eastAsia="SimSun" w:cs="Times New Roman"/>
          <w:i/>
          <w:iCs/>
          <w:color w:val="auto"/>
          <w:sz w:val="24"/>
          <w:szCs w:val="24"/>
        </w:rPr>
        <w:t>purposive sampling</w:t>
      </w:r>
      <w:r>
        <w:rPr>
          <w:rFonts w:hint="default" w:ascii="Times New Roman" w:hAnsi="Times New Roman" w:eastAsia="SimSun" w:cs="Times New Roman"/>
          <w:color w:val="auto"/>
          <w:sz w:val="24"/>
          <w:szCs w:val="24"/>
        </w:rPr>
        <w:t xml:space="preserve"> diharapkan </w:t>
      </w:r>
      <w:r>
        <w:rPr>
          <w:rFonts w:hint="default" w:ascii="Times New Roman" w:hAnsi="Times New Roman" w:eastAsia="SimSun" w:cs="Times New Roman"/>
          <w:color w:val="auto"/>
          <w:sz w:val="24"/>
          <w:szCs w:val="24"/>
          <w:lang w:val="en-US"/>
        </w:rPr>
        <w:t xml:space="preserve">dapat memperoleh data yang </w:t>
      </w:r>
      <w:r>
        <w:rPr>
          <w:rFonts w:hint="default" w:ascii="Times New Roman" w:hAnsi="Times New Roman" w:eastAsia="SimSun" w:cs="Times New Roman"/>
          <w:color w:val="auto"/>
          <w:sz w:val="24"/>
          <w:szCs w:val="24"/>
        </w:rPr>
        <w:t xml:space="preserve"> benar-benar sesuai dengan </w:t>
      </w:r>
      <w:r>
        <w:rPr>
          <w:rFonts w:hint="default" w:ascii="Times New Roman" w:hAnsi="Times New Roman" w:eastAsia="SimSun" w:cs="Times New Roman"/>
          <w:color w:val="auto"/>
          <w:sz w:val="24"/>
          <w:szCs w:val="24"/>
          <w:lang w:val="en-US"/>
        </w:rPr>
        <w:t>topik penelitian.</w:t>
      </w:r>
      <w:r>
        <w:rPr>
          <w:rFonts w:hint="default" w:ascii="Times New Roman" w:hAnsi="Times New Roman" w:cs="Times New Roman"/>
          <w:color w:val="auto"/>
          <w:sz w:val="24"/>
          <w:szCs w:val="24"/>
          <w:lang w:val="sv-SE"/>
        </w:rPr>
        <w:t xml:space="preserve"> Teknik analisis data yang digunakan sesuai dengan yang dikembangkan oleh Miles dan Huberman yang meliputi pengumpulan data, kondensasi data, penyajian data, penarikan kesimpulan dan verifikasi. Teknik keabsahan data menggunakan uji credibility, yakni dengan triangulasi, pemeriksaan melalui diskusi dan pengecekan anggota.</w:t>
      </w:r>
    </w:p>
    <w:p w14:paraId="2336A66A">
      <w:pPr>
        <w:pStyle w:val="9"/>
        <w:spacing w:after="0" w:line="360" w:lineRule="auto"/>
        <w:ind w:right="110" w:firstLine="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Results </w:t>
      </w:r>
      <w:r>
        <w:rPr>
          <w:rFonts w:hint="default" w:ascii="Times New Roman" w:hAnsi="Times New Roman" w:cs="Times New Roman"/>
          <w:b/>
          <w:bCs/>
          <w:sz w:val="24"/>
          <w:szCs w:val="24"/>
          <w:lang w:val="en-US"/>
        </w:rPr>
        <w:t>a</w:t>
      </w:r>
      <w:r>
        <w:rPr>
          <w:rFonts w:hint="default" w:ascii="Times New Roman" w:hAnsi="Times New Roman" w:cs="Times New Roman"/>
          <w:b/>
          <w:bCs/>
          <w:sz w:val="24"/>
          <w:szCs w:val="24"/>
        </w:rPr>
        <w:t>nd Discussion</w:t>
      </w:r>
    </w:p>
    <w:p w14:paraId="5037E34C">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4"/>
          <w:szCs w:val="24"/>
          <w:highlight w:val="none"/>
        </w:rPr>
      </w:pPr>
      <w:r>
        <w:rPr>
          <w:rFonts w:hint="default" w:ascii="Times New Roman" w:hAnsi="Times New Roman" w:cs="Times New Roman"/>
          <w:sz w:val="24"/>
          <w:szCs w:val="24"/>
          <w:lang w:val="zh-CN"/>
        </w:rPr>
        <w:t xml:space="preserve">Penelitian ini berfokus pada Evaluasi </w:t>
      </w:r>
      <w:r>
        <w:rPr>
          <w:rFonts w:hint="default" w:ascii="Times New Roman" w:hAnsi="Times New Roman" w:cs="Times New Roman"/>
          <w:i/>
          <w:iCs/>
          <w:sz w:val="24"/>
          <w:szCs w:val="24"/>
          <w:lang w:val="zh-CN"/>
        </w:rPr>
        <w:t>Universal Health Coverage</w:t>
      </w:r>
      <w:r>
        <w:rPr>
          <w:rFonts w:hint="default" w:ascii="Times New Roman" w:hAnsi="Times New Roman" w:cs="Times New Roman"/>
          <w:sz w:val="24"/>
          <w:szCs w:val="24"/>
          <w:lang w:val="zh-CN"/>
        </w:rPr>
        <w:t xml:space="preserve"> (UHC) Dalam Program Jaminan Kesehatan Nasional di Pulau Bawean Kabupaten Gresik. Analisis evaluasi kebijakan dilakukan dengan menggunakan teori model evaluasi formatif Michael Scriven pada tahun 1967 yang dikutip dari buku Muh. Firyal Akbar &amp; Mohi</w:t>
      </w:r>
      <w:r>
        <w:rPr>
          <w:rFonts w:hint="default" w:cs="Times New Roman"/>
          <w:sz w:val="24"/>
          <w:szCs w:val="24"/>
          <w:lang w:val="en-US"/>
        </w:rPr>
        <w:t xml:space="preserve"> (2018)</w:t>
      </w:r>
      <w:r>
        <w:rPr>
          <w:rFonts w:hint="default" w:ascii="Times New Roman" w:hAnsi="Times New Roman" w:cs="Times New Roman"/>
          <w:sz w:val="24"/>
          <w:szCs w:val="24"/>
          <w:lang w:val="zh-CN"/>
        </w:rPr>
        <w:t xml:space="preserve">. </w:t>
      </w:r>
      <w:r>
        <w:rPr>
          <w:rFonts w:hint="default" w:ascii="Times New Roman" w:hAnsi="Times New Roman" w:cs="Times New Roman"/>
          <w:i/>
          <w:iCs/>
          <w:sz w:val="24"/>
          <w:szCs w:val="24"/>
          <w:lang w:val="zh-CN"/>
        </w:rPr>
        <w:t>The program evaluation standards</w:t>
      </w:r>
      <w:r>
        <w:rPr>
          <w:rFonts w:hint="default" w:ascii="Times New Roman" w:hAnsi="Times New Roman" w:cs="Times New Roman"/>
          <w:sz w:val="24"/>
          <w:szCs w:val="24"/>
          <w:lang w:val="zh-CN"/>
        </w:rPr>
        <w:t xml:space="preserve"> mendefinisikan evaluasi formatif sebagai evaluasi yang dilakukan untuk memperbaiki objek, khususnya ketika objek tersebut sedang dikembangkan. </w:t>
      </w:r>
      <w:r>
        <w:rPr>
          <w:rFonts w:hint="default" w:ascii="Times New Roman" w:hAnsi="Times New Roman" w:cs="Times New Roman"/>
          <w:color w:val="000000"/>
          <w:sz w:val="24"/>
          <w:szCs w:val="24"/>
          <w:lang w:val="zh-CN"/>
        </w:rPr>
        <w:t xml:space="preserve">Sepanjang pelaksanaan kebijakan, program atau proyek dapat dilakukan sejumlah evaluasi formatif sesuai dengan kebutuhan atau kontrak kerja evaluasi, yang mana dilakukan untuk </w:t>
      </w:r>
      <w:r>
        <w:rPr>
          <w:rFonts w:ascii="Times New Roman" w:hAnsi="Times New Roman" w:eastAsia="Calibri"/>
          <w:kern w:val="2"/>
          <w:sz w:val="24"/>
          <w:szCs w:val="24"/>
          <w:highlight w:val="none"/>
          <w:lang w:bidi="ar"/>
        </w:rPr>
        <w:t xml:space="preserve">emiliki 3 fokus yang akan diuraikan lebih lanjut dibawah ini, hal tersebut bertujuan untuk </w:t>
      </w:r>
      <w:r>
        <w:rPr>
          <w:rFonts w:ascii="Times New Roman" w:hAnsi="Times New Roman"/>
          <w:sz w:val="24"/>
          <w:szCs w:val="24"/>
          <w:highlight w:val="none"/>
        </w:rPr>
        <w:t>mengetahui  pelaksanaan</w:t>
      </w:r>
      <w:r>
        <w:rPr>
          <w:rFonts w:hint="default" w:ascii="Times New Roman" w:hAnsi="Times New Roman"/>
          <w:sz w:val="24"/>
          <w:szCs w:val="24"/>
          <w:highlight w:val="none"/>
          <w:lang w:val="en-US"/>
        </w:rPr>
        <w:t xml:space="preserve"> UHC </w:t>
      </w:r>
      <w:r>
        <w:rPr>
          <w:rFonts w:ascii="Times New Roman" w:hAnsi="Times New Roman"/>
          <w:sz w:val="24"/>
          <w:szCs w:val="24"/>
          <w:highlight w:val="none"/>
        </w:rPr>
        <w:t>dalam program jaminan kesehatan nasional di Pulau Bawean Kabupaten Gresik dalam upaya perbaikan pelaksanaan UHC di Pulau Bawean Kabupaten Gresik.</w:t>
      </w:r>
    </w:p>
    <w:p w14:paraId="75C3E50E">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4"/>
          <w:szCs w:val="24"/>
          <w:highlight w:val="none"/>
        </w:rPr>
      </w:pPr>
    </w:p>
    <w:p w14:paraId="7AFB1061">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hint="default" w:ascii="Times New Roman" w:hAnsi="Times New Roman"/>
          <w:sz w:val="24"/>
          <w:szCs w:val="24"/>
          <w:highlight w:val="none"/>
          <w:lang w:val="zh-CN"/>
        </w:rPr>
      </w:pPr>
    </w:p>
    <w:p w14:paraId="649DEAD2">
      <w:pPr>
        <w:pStyle w:val="141"/>
        <w:numPr>
          <w:ilvl w:val="0"/>
          <w:numId w:val="6"/>
        </w:num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Mengukur Hasil Pelaksanaan Secara Periodik</w:t>
      </w:r>
    </w:p>
    <w:p w14:paraId="43AC1B2A">
      <w:pPr>
        <w:spacing w:line="360" w:lineRule="auto"/>
        <w:ind w:firstLine="360"/>
        <w:jc w:val="both"/>
        <w:rPr>
          <w:rFonts w:hint="default" w:ascii="Times New Roman" w:hAnsi="Times New Roman" w:cs="Times New Roman"/>
          <w:color w:val="000000"/>
          <w:sz w:val="24"/>
          <w:szCs w:val="24"/>
          <w:lang w:val="zh-CN"/>
        </w:rPr>
      </w:pPr>
      <w:r>
        <w:rPr>
          <w:rFonts w:hint="default"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854075</wp:posOffset>
            </wp:positionH>
            <wp:positionV relativeFrom="paragraph">
              <wp:posOffset>1389380</wp:posOffset>
            </wp:positionV>
            <wp:extent cx="3743960" cy="2059305"/>
            <wp:effectExtent l="0" t="0" r="0" b="0"/>
            <wp:wrapNone/>
            <wp:docPr id="1058767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67867" name="Picture 1"/>
                    <pic:cNvPicPr>
                      <a:picLocks noChangeAspect="1"/>
                    </pic:cNvPicPr>
                  </pic:nvPicPr>
                  <pic:blipFill>
                    <a:blip r:embed="rId14"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rcRect l="30226" t="33104" r="20203" b="9716"/>
                    <a:stretch>
                      <a:fillRect/>
                    </a:stretch>
                  </pic:blipFill>
                  <pic:spPr>
                    <a:xfrm>
                      <a:off x="0" y="0"/>
                      <a:ext cx="3743960" cy="2059305"/>
                    </a:xfrm>
                    <a:prstGeom prst="rect">
                      <a:avLst/>
                    </a:prstGeom>
                    <a:ln>
                      <a:noFill/>
                    </a:ln>
                  </pic:spPr>
                </pic:pic>
              </a:graphicData>
            </a:graphic>
          </wp:anchor>
        </w:drawing>
      </w:r>
      <w:r>
        <w:rPr>
          <w:rFonts w:hint="default" w:ascii="Times New Roman" w:hAnsi="Times New Roman" w:eastAsia="Calibri" w:cs="Times New Roman"/>
          <w:sz w:val="24"/>
          <w:szCs w:val="24"/>
        </w:rPr>
        <w:t>Muh. Firyal Akbar &amp; Mohi (2018) mengatakan bahwa fokus ini berkaitan dengan</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apakah pelaksanaan program mencapai tujuan yang telah ditetapkan atau tidak?, evaluasi mengukur apakah target tercapai atau tidak</w:t>
      </w:r>
      <w:r>
        <w:rPr>
          <w:rFonts w:hint="default" w:cs="Times New Roman"/>
          <w:color w:val="000000"/>
          <w:sz w:val="24"/>
          <w:szCs w:val="24"/>
          <w:lang w:val="en-US"/>
        </w:rPr>
        <w:t xml:space="preserve">. </w:t>
      </w:r>
      <w:r>
        <w:rPr>
          <w:rFonts w:hint="default" w:ascii="Times New Roman" w:hAnsi="Times New Roman" w:cs="Times New Roman"/>
          <w:color w:val="000000"/>
          <w:sz w:val="24"/>
          <w:szCs w:val="24"/>
          <w:lang w:val="zh-CN"/>
        </w:rPr>
        <w:t xml:space="preserve">Tujuan program UHC yang tercantum dalam Peraturan Bupati Gresik Nomor 60 Tahun 2022 </w:t>
      </w:r>
      <w:r>
        <w:rPr>
          <w:rFonts w:hint="default" w:ascii="Times New Roman" w:hAnsi="Times New Roman" w:cs="Times New Roman"/>
          <w:sz w:val="24"/>
          <w:szCs w:val="24"/>
          <w:lang w:val="zh-CN"/>
        </w:rPr>
        <w:t>tentang Penyelenggaraan Universal Health Coverage Dalam Program Jaminan Kesehatan Nasional di Kabupaten Gresik</w:t>
      </w:r>
      <w:r>
        <w:rPr>
          <w:rFonts w:hint="default" w:ascii="Times New Roman" w:hAnsi="Times New Roman" w:cs="Times New Roman"/>
          <w:color w:val="000000"/>
          <w:sz w:val="24"/>
          <w:szCs w:val="24"/>
          <w:lang w:val="zh-CN"/>
        </w:rPr>
        <w:t>, yang mana sebagai berikut :</w:t>
      </w:r>
      <w:r>
        <w:rPr>
          <w:rFonts w:hint="default" w:ascii="Times New Roman" w:hAnsi="Times New Roman" w:cs="Times New Roman"/>
          <w:b/>
          <w:bCs/>
          <w:color w:val="000000"/>
          <w:sz w:val="24"/>
          <w:szCs w:val="24"/>
          <w:lang w:val="zh-CN"/>
        </w:rPr>
        <w:t xml:space="preserve"> </w:t>
      </w:r>
    </w:p>
    <w:p w14:paraId="10672382">
      <w:pPr>
        <w:spacing w:line="360" w:lineRule="auto"/>
        <w:rPr>
          <w:rFonts w:hint="default" w:ascii="Times New Roman" w:hAnsi="Times New Roman" w:cs="Times New Roman"/>
          <w:color w:val="000000"/>
          <w:sz w:val="24"/>
          <w:szCs w:val="24"/>
        </w:rPr>
      </w:pPr>
    </w:p>
    <w:p w14:paraId="3EA83306">
      <w:pPr>
        <w:pStyle w:val="141"/>
        <w:spacing w:line="360" w:lineRule="auto"/>
        <w:ind w:firstLine="0"/>
        <w:rPr>
          <w:rFonts w:hint="default" w:ascii="Times New Roman" w:hAnsi="Times New Roman" w:cs="Times New Roman"/>
          <w:sz w:val="24"/>
          <w:szCs w:val="24"/>
          <w:lang w:val="en-US"/>
        </w:rPr>
      </w:pPr>
    </w:p>
    <w:p w14:paraId="55BA5148">
      <w:pPr>
        <w:pStyle w:val="141"/>
        <w:spacing w:line="360" w:lineRule="auto"/>
        <w:rPr>
          <w:rFonts w:hint="default" w:ascii="Times New Roman" w:hAnsi="Times New Roman" w:cs="Times New Roman"/>
          <w:b/>
          <w:bCs/>
          <w:sz w:val="24"/>
          <w:szCs w:val="24"/>
          <w:lang w:val="zh-CN"/>
        </w:rPr>
      </w:pPr>
    </w:p>
    <w:p w14:paraId="67CD2AC5">
      <w:pPr>
        <w:pStyle w:val="141"/>
        <w:spacing w:line="360" w:lineRule="auto"/>
        <w:rPr>
          <w:rFonts w:hint="default" w:ascii="Times New Roman" w:hAnsi="Times New Roman" w:cs="Times New Roman"/>
          <w:b/>
          <w:bCs/>
          <w:sz w:val="24"/>
          <w:szCs w:val="24"/>
          <w:lang w:val="zh-CN"/>
        </w:rPr>
      </w:pPr>
    </w:p>
    <w:p w14:paraId="246BDCF9">
      <w:pPr>
        <w:pStyle w:val="141"/>
        <w:spacing w:line="360" w:lineRule="auto"/>
        <w:ind w:firstLine="0"/>
        <w:rPr>
          <w:rFonts w:hint="default" w:ascii="Times New Roman" w:hAnsi="Times New Roman" w:cs="Times New Roman"/>
          <w:b/>
          <w:bCs/>
          <w:sz w:val="24"/>
          <w:szCs w:val="24"/>
          <w:lang w:val="en-US"/>
        </w:rPr>
      </w:pPr>
    </w:p>
    <w:p w14:paraId="7BEC1BEC">
      <w:pPr>
        <w:pStyle w:val="141"/>
        <w:spacing w:line="240" w:lineRule="auto"/>
        <w:ind w:firstLine="0"/>
        <w:rPr>
          <w:rFonts w:hint="default" w:ascii="Times New Roman" w:hAnsi="Times New Roman" w:cs="Times New Roman"/>
          <w:b/>
          <w:bCs/>
          <w:sz w:val="24"/>
          <w:szCs w:val="24"/>
          <w:lang w:val="en-US"/>
        </w:rPr>
      </w:pPr>
    </w:p>
    <w:p w14:paraId="7D2EA3FD">
      <w:pPr>
        <w:pStyle w:val="141"/>
        <w:spacing w:line="240" w:lineRule="auto"/>
        <w:ind w:firstLine="0"/>
        <w:rPr>
          <w:rFonts w:hint="default" w:ascii="Times New Roman" w:hAnsi="Times New Roman" w:cs="Times New Roman"/>
          <w:b/>
          <w:bCs/>
          <w:sz w:val="24"/>
          <w:szCs w:val="24"/>
          <w:lang w:val="en-US"/>
        </w:rPr>
      </w:pPr>
    </w:p>
    <w:p w14:paraId="4727F17C">
      <w:pPr>
        <w:pStyle w:val="141"/>
        <w:spacing w:line="240" w:lineRule="auto"/>
        <w:ind w:firstLine="0"/>
        <w:rPr>
          <w:rFonts w:hint="default" w:ascii="Times New Roman" w:hAnsi="Times New Roman" w:cs="Times New Roman"/>
          <w:b/>
          <w:bCs/>
          <w:sz w:val="24"/>
          <w:szCs w:val="24"/>
          <w:lang w:val="en-US"/>
        </w:rPr>
      </w:pPr>
    </w:p>
    <w:p w14:paraId="5908F627">
      <w:pPr>
        <w:pStyle w:val="141"/>
        <w:spacing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Figure 1 T</w:t>
      </w:r>
      <w:r>
        <w:rPr>
          <w:rFonts w:hint="default" w:cs="Times New Roman"/>
          <w:b/>
          <w:bCs/>
          <w:sz w:val="24"/>
          <w:szCs w:val="24"/>
          <w:lang w:val="en-US"/>
        </w:rPr>
        <w:t>ujuan UHC</w:t>
      </w:r>
    </w:p>
    <w:p w14:paraId="6E0E0BDD">
      <w:pPr>
        <w:pStyle w:val="141"/>
        <w:spacing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 Peraturan Bupati Gresik Nomor 60 Tahun 2022, 2024</w:t>
      </w:r>
    </w:p>
    <w:p w14:paraId="00AB96A7">
      <w:pPr>
        <w:pStyle w:val="141"/>
        <w:spacing w:line="240" w:lineRule="auto"/>
        <w:rPr>
          <w:rFonts w:hint="default" w:ascii="Times New Roman" w:hAnsi="Times New Roman" w:cs="Times New Roman"/>
          <w:b/>
          <w:bCs/>
          <w:sz w:val="24"/>
          <w:szCs w:val="24"/>
          <w:lang w:val="zh-CN"/>
        </w:rPr>
      </w:pPr>
    </w:p>
    <w:p w14:paraId="18E82A6B">
      <w:pPr>
        <w:pStyle w:val="141"/>
        <w:spacing w:line="360" w:lineRule="auto"/>
        <w:ind w:left="0" w:leftChars="0" w:firstLine="720"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en-US"/>
        </w:rPr>
        <w:t>Dalam tujuan pertama, terdapat peningkatan derajat kesehatan. S</w:t>
      </w:r>
      <w:r>
        <w:rPr>
          <w:rFonts w:hint="default" w:ascii="Times New Roman" w:hAnsi="Times New Roman" w:cs="Times New Roman"/>
          <w:sz w:val="24"/>
          <w:szCs w:val="24"/>
          <w:lang w:val="zh-CN"/>
        </w:rPr>
        <w:t>ampai saat ini pun masih terdapat masyarakat yang datang untuk mendaftarkan diri, dan berdasarkan keterangan petugas PIPP juga hanya sebagian kecil masyarakat yang belum terdaftar.</w:t>
      </w:r>
    </w:p>
    <w:p w14:paraId="77F8F3C1">
      <w:pPr>
        <w:pStyle w:val="141"/>
        <w:spacing w:line="360" w:lineRule="auto"/>
        <w:rPr>
          <w:rFonts w:hint="default" w:ascii="Times New Roman" w:hAnsi="Times New Roman" w:cs="Times New Roman"/>
          <w:sz w:val="24"/>
          <w:szCs w:val="24"/>
          <w:lang w:val="zh-CN"/>
        </w:rPr>
      </w:pPr>
      <w:r>
        <w:rPr>
          <w:rFonts w:hint="default"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891540</wp:posOffset>
            </wp:positionH>
            <wp:positionV relativeFrom="paragraph">
              <wp:posOffset>30480</wp:posOffset>
            </wp:positionV>
            <wp:extent cx="3432175" cy="1883410"/>
            <wp:effectExtent l="5080" t="4445" r="4445" b="17145"/>
            <wp:wrapNone/>
            <wp:docPr id="182415254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621B773">
      <w:pPr>
        <w:pStyle w:val="141"/>
        <w:spacing w:line="360" w:lineRule="auto"/>
        <w:rPr>
          <w:rFonts w:hint="default" w:ascii="Times New Roman" w:hAnsi="Times New Roman" w:cs="Times New Roman"/>
          <w:sz w:val="24"/>
          <w:szCs w:val="24"/>
          <w:lang w:val="en-US"/>
        </w:rPr>
      </w:pPr>
    </w:p>
    <w:p w14:paraId="1687A41A">
      <w:pPr>
        <w:pStyle w:val="141"/>
        <w:spacing w:line="360" w:lineRule="auto"/>
        <w:ind w:firstLine="0"/>
        <w:rPr>
          <w:rFonts w:hint="default" w:ascii="Times New Roman" w:hAnsi="Times New Roman" w:cs="Times New Roman"/>
          <w:sz w:val="24"/>
          <w:szCs w:val="24"/>
        </w:rPr>
      </w:pPr>
    </w:p>
    <w:p w14:paraId="6CAF2D71">
      <w:pPr>
        <w:pStyle w:val="141"/>
        <w:spacing w:line="360" w:lineRule="auto"/>
        <w:ind w:firstLine="0"/>
        <w:rPr>
          <w:rFonts w:hint="default" w:ascii="Times New Roman" w:hAnsi="Times New Roman" w:cs="Times New Roman"/>
          <w:sz w:val="24"/>
          <w:szCs w:val="24"/>
        </w:rPr>
      </w:pPr>
    </w:p>
    <w:p w14:paraId="176F4A81">
      <w:pPr>
        <w:pStyle w:val="141"/>
        <w:spacing w:line="360" w:lineRule="auto"/>
        <w:ind w:firstLine="0"/>
        <w:rPr>
          <w:rFonts w:hint="default" w:ascii="Times New Roman" w:hAnsi="Times New Roman" w:cs="Times New Roman"/>
          <w:sz w:val="24"/>
          <w:szCs w:val="24"/>
        </w:rPr>
      </w:pPr>
    </w:p>
    <w:p w14:paraId="417318B9">
      <w:pPr>
        <w:pStyle w:val="141"/>
        <w:spacing w:line="360" w:lineRule="auto"/>
        <w:ind w:firstLine="0"/>
        <w:rPr>
          <w:rFonts w:hint="default" w:ascii="Times New Roman" w:hAnsi="Times New Roman" w:cs="Times New Roman"/>
          <w:sz w:val="24"/>
          <w:szCs w:val="24"/>
        </w:rPr>
      </w:pPr>
    </w:p>
    <w:p w14:paraId="05B8C83A">
      <w:pPr>
        <w:pStyle w:val="141"/>
        <w:spacing w:line="360" w:lineRule="auto"/>
        <w:ind w:firstLine="0"/>
        <w:rPr>
          <w:rFonts w:hint="default" w:ascii="Times New Roman" w:hAnsi="Times New Roman" w:cs="Times New Roman"/>
          <w:sz w:val="24"/>
          <w:szCs w:val="24"/>
        </w:rPr>
      </w:pPr>
    </w:p>
    <w:p w14:paraId="227C3F3A">
      <w:pPr>
        <w:pStyle w:val="141"/>
        <w:spacing w:line="360" w:lineRule="auto"/>
        <w:ind w:firstLine="0"/>
        <w:rPr>
          <w:rFonts w:hint="default" w:ascii="Times New Roman" w:hAnsi="Times New Roman" w:cs="Times New Roman"/>
          <w:sz w:val="24"/>
          <w:szCs w:val="24"/>
        </w:rPr>
      </w:pPr>
    </w:p>
    <w:p w14:paraId="587B11F7">
      <w:pPr>
        <w:pStyle w:val="141"/>
        <w:spacing w:line="240" w:lineRule="auto"/>
        <w:ind w:left="216" w:firstLine="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Figure 2 Total UHC Semua Segmentasi Pulau Bawean 2023</w:t>
      </w:r>
    </w:p>
    <w:p w14:paraId="3E02E49C">
      <w:pPr>
        <w:pStyle w:val="141"/>
        <w:spacing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 Dinas Kesehatan Kabupaten Gresik, 2024</w:t>
      </w:r>
    </w:p>
    <w:p w14:paraId="5F55B872">
      <w:pPr>
        <w:pStyle w:val="141"/>
        <w:spacing w:line="360" w:lineRule="auto"/>
        <w:rPr>
          <w:rFonts w:hint="default" w:ascii="Times New Roman" w:hAnsi="Times New Roman" w:cs="Times New Roman"/>
          <w:b/>
          <w:bCs/>
          <w:sz w:val="24"/>
          <w:szCs w:val="24"/>
          <w:lang w:val="en-US"/>
        </w:rPr>
      </w:pPr>
    </w:p>
    <w:p w14:paraId="27603236">
      <w:pPr>
        <w:pStyle w:val="141"/>
        <w:spacing w:line="360" w:lineRule="auto"/>
        <w:ind w:left="0" w:leftChars="0" w:firstLine="720"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Dapat dilihat dalam grafik tersebut bahwa terdapat kenaikan UHC keseluruhan di Pulau Bawean seiring dengan kenaikan UHC PBID, yang mana dalam periode semester 1 2023 yakni Januari 2023 - Juni 2023 memiliki total jumlah 87.567 masyarakat yang terdaftar dalam jaminan kesehatan nasional. Kenaikan terjadi pula pada periode semester 2 2023 yakni Juli 2023 - Desember 2023 memiliki jumlah 87.865 masyarakat terdaftar jaminan kesehatan nasional.</w:t>
      </w:r>
    </w:p>
    <w:p w14:paraId="46DA8520">
      <w:pPr>
        <w:pStyle w:val="141"/>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rPr>
        <w:drawing>
          <wp:anchor distT="0" distB="0" distL="114300" distR="114300" simplePos="0" relativeHeight="251664384" behindDoc="0" locked="0" layoutInCell="1" allowOverlap="1">
            <wp:simplePos x="0" y="0"/>
            <wp:positionH relativeFrom="column">
              <wp:posOffset>543560</wp:posOffset>
            </wp:positionH>
            <wp:positionV relativeFrom="paragraph">
              <wp:posOffset>102235</wp:posOffset>
            </wp:positionV>
            <wp:extent cx="3768725" cy="1835785"/>
            <wp:effectExtent l="4445" t="4445" r="11430" b="13970"/>
            <wp:wrapNone/>
            <wp:docPr id="6480407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90C228F">
      <w:pPr>
        <w:pStyle w:val="141"/>
        <w:spacing w:line="360" w:lineRule="auto"/>
        <w:rPr>
          <w:rFonts w:hint="default" w:ascii="Times New Roman" w:hAnsi="Times New Roman" w:cs="Times New Roman"/>
          <w:sz w:val="24"/>
          <w:szCs w:val="24"/>
          <w:lang w:val="en-US"/>
        </w:rPr>
      </w:pPr>
    </w:p>
    <w:p w14:paraId="3DBD920B">
      <w:pPr>
        <w:pStyle w:val="141"/>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p>
    <w:p w14:paraId="18DBE540">
      <w:pPr>
        <w:pStyle w:val="141"/>
        <w:spacing w:line="360" w:lineRule="auto"/>
        <w:ind w:firstLine="0"/>
        <w:rPr>
          <w:rFonts w:hint="default" w:ascii="Times New Roman" w:hAnsi="Times New Roman" w:cs="Times New Roman"/>
          <w:sz w:val="24"/>
          <w:szCs w:val="24"/>
        </w:rPr>
      </w:pPr>
    </w:p>
    <w:p w14:paraId="2389F37B">
      <w:pPr>
        <w:pStyle w:val="141"/>
        <w:spacing w:line="360" w:lineRule="auto"/>
        <w:ind w:firstLine="0"/>
        <w:rPr>
          <w:rFonts w:hint="default" w:ascii="Times New Roman" w:hAnsi="Times New Roman" w:cs="Times New Roman"/>
          <w:sz w:val="24"/>
          <w:szCs w:val="24"/>
        </w:rPr>
      </w:pPr>
    </w:p>
    <w:p w14:paraId="4E808D18">
      <w:pPr>
        <w:pStyle w:val="141"/>
        <w:spacing w:line="360" w:lineRule="auto"/>
        <w:ind w:firstLine="0"/>
        <w:rPr>
          <w:rFonts w:hint="default" w:ascii="Times New Roman" w:hAnsi="Times New Roman" w:cs="Times New Roman"/>
          <w:sz w:val="24"/>
          <w:szCs w:val="24"/>
        </w:rPr>
      </w:pPr>
    </w:p>
    <w:p w14:paraId="152B064A">
      <w:pPr>
        <w:pStyle w:val="141"/>
        <w:spacing w:line="360" w:lineRule="auto"/>
        <w:ind w:firstLine="0"/>
        <w:rPr>
          <w:rFonts w:hint="default" w:ascii="Times New Roman" w:hAnsi="Times New Roman" w:cs="Times New Roman"/>
          <w:sz w:val="24"/>
          <w:szCs w:val="24"/>
        </w:rPr>
      </w:pPr>
    </w:p>
    <w:p w14:paraId="43DED8C0">
      <w:pPr>
        <w:pStyle w:val="141"/>
        <w:spacing w:line="240" w:lineRule="auto"/>
        <w:ind w:firstLine="0"/>
        <w:rPr>
          <w:rFonts w:hint="default" w:ascii="Times New Roman" w:hAnsi="Times New Roman" w:cs="Times New Roman"/>
          <w:sz w:val="24"/>
          <w:szCs w:val="24"/>
          <w:lang w:val="en-US"/>
        </w:rPr>
      </w:pPr>
    </w:p>
    <w:p w14:paraId="23129A49">
      <w:pPr>
        <w:pStyle w:val="141"/>
        <w:spacing w:line="240" w:lineRule="auto"/>
        <w:ind w:left="216" w:firstLine="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Figure 3 Jumlah Penduduk Pulau Bawean 2023</w:t>
      </w:r>
    </w:p>
    <w:p w14:paraId="5CED5AEF">
      <w:pPr>
        <w:pStyle w:val="141"/>
        <w:spacing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 Dinas Kependudukan dan Pencacatan Sipil, 2024</w:t>
      </w:r>
    </w:p>
    <w:p w14:paraId="190B4D09">
      <w:pPr>
        <w:pStyle w:val="141"/>
        <w:spacing w:line="240" w:lineRule="auto"/>
        <w:rPr>
          <w:rFonts w:hint="default" w:ascii="Times New Roman" w:hAnsi="Times New Roman" w:cs="Times New Roman"/>
          <w:b/>
          <w:bCs/>
          <w:sz w:val="24"/>
          <w:szCs w:val="24"/>
          <w:lang w:val="en-US"/>
        </w:rPr>
      </w:pPr>
    </w:p>
    <w:p w14:paraId="5022FD65">
      <w:pPr>
        <w:pStyle w:val="141"/>
        <w:spacing w:line="360" w:lineRule="auto"/>
        <w:ind w:left="0" w:leftChars="0" w:firstLine="720"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Kenaikan kepesertaan UHC keseluruhan diiringi dengan kenaikan jumlah penduduk Pulau Bawean baik pada semester 1 2023 maupun pada semester 2 2023. Pada semester 1 2023 penduduk Pulau Bawean berjumlah 82.455 dengan rincian 41.925 laki-laki dan 41.530 perempuan. Pada semester 2 2023 penduduk Pulau Bawean berjumlah 84.218 dengan rincian 42.276 laki-laki dan 41.942 perempuan.</w:t>
      </w:r>
    </w:p>
    <w:p w14:paraId="1C652313">
      <w:pPr>
        <w:pStyle w:val="141"/>
        <w:spacing w:line="360" w:lineRule="auto"/>
        <w:ind w:left="0" w:leftChars="0" w:firstLine="720"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Memang terdapat kenaikan derajat kesehatan di Pulau Bawean. Akan tetapi, terdapat ketidaksesuaian jumlah antara keikutsertaan UHC dengan jumlah penduduk. Jumlah keikutsertaan yang lebih besar tersebut mengisyaratkan bahwa  masyarakat Pulau Bawean di dua Kecamatan secara keseluruhan sudah terdaftar pada jaminan kesehatan nasional termasuk masyarakat yang terdaftar dengan UHC PBID. Sedangkan, menurut keterangan petugas PIPP di lapangan sampai saat ini masih terdapat warga yang datang untuk mendaftarkan diri dan masih terdapat beberapa masyarakat yang belum terdaftar. Ketidajsesuaian tersebut disinyalir karena adanya data flag yang harus dibersihkan.</w:t>
      </w:r>
    </w:p>
    <w:p w14:paraId="4187CD75">
      <w:pPr>
        <w:pStyle w:val="141"/>
        <w:spacing w:line="360" w:lineRule="auto"/>
        <w:ind w:left="0" w:leftChars="0" w:firstLine="720"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Berhubungan dengan kualitas pelayanan publik, salah satu indikator dalam mengukur kualitas pelayanan menurut Parasuraman dkk dalam Mulyawan </w:t>
      </w:r>
      <w:r>
        <w:rPr>
          <w:rFonts w:hint="default" w:cs="Times New Roman"/>
          <w:sz w:val="24"/>
          <w:szCs w:val="24"/>
          <w:lang w:val="en-US"/>
        </w:rPr>
        <w:t xml:space="preserve">(2016) </w:t>
      </w:r>
      <w:r>
        <w:rPr>
          <w:rFonts w:hint="default" w:ascii="Times New Roman" w:hAnsi="Times New Roman" w:cs="Times New Roman"/>
          <w:sz w:val="24"/>
          <w:szCs w:val="24"/>
          <w:lang w:val="zh-CN"/>
        </w:rPr>
        <w:t>keandalan (</w:t>
      </w:r>
      <w:r>
        <w:rPr>
          <w:rFonts w:hint="default" w:ascii="Times New Roman" w:hAnsi="Times New Roman" w:cs="Times New Roman"/>
          <w:i/>
          <w:iCs/>
          <w:sz w:val="24"/>
          <w:szCs w:val="24"/>
          <w:lang w:val="zh-CN"/>
        </w:rPr>
        <w:t>Reability</w:t>
      </w:r>
      <w:r>
        <w:rPr>
          <w:rFonts w:hint="default" w:ascii="Times New Roman" w:hAnsi="Times New Roman" w:cs="Times New Roman"/>
          <w:sz w:val="24"/>
          <w:szCs w:val="24"/>
          <w:lang w:val="zh-CN"/>
        </w:rPr>
        <w:t>) . Keandalan (</w:t>
      </w:r>
      <w:r>
        <w:rPr>
          <w:rFonts w:hint="default" w:ascii="Times New Roman" w:hAnsi="Times New Roman" w:cs="Times New Roman"/>
          <w:i/>
          <w:iCs/>
          <w:sz w:val="24"/>
          <w:szCs w:val="24"/>
          <w:lang w:val="zh-CN"/>
        </w:rPr>
        <w:t>Reliability</w:t>
      </w:r>
      <w:r>
        <w:rPr>
          <w:rFonts w:hint="default" w:ascii="Times New Roman" w:hAnsi="Times New Roman" w:cs="Times New Roman"/>
          <w:sz w:val="24"/>
          <w:szCs w:val="24"/>
          <w:lang w:val="zh-CN"/>
        </w:rPr>
        <w:t>) yang mana dijelaskan bahwa, dalam pelayanan publik diperlukan sebuah keahlihan dalam memberikan pelayanan dengan segera, akurat, dan memuaskan. Berdasarkan teori tersebut dapat diketahui bahwa keakuratan data dalam pelayanan publik akan memengaruhi kualitas pelayanan. Dengan begitu, atas adanya ketidaksinkronan dan ketidakakuratan data tersebut diperlukan sinkronisasi data antara data jumlah penduduk dan data keikutsertaan jaminan kesehatan nasional.</w:t>
      </w:r>
    </w:p>
    <w:p w14:paraId="464B9D92">
      <w:pPr>
        <w:pStyle w:val="141"/>
        <w:spacing w:line="360" w:lineRule="auto"/>
        <w:ind w:left="0" w:leftChars="0" w:firstLine="720" w:firstLineChars="0"/>
        <w:rPr>
          <w:rFonts w:hint="default" w:ascii="Times New Roman" w:hAnsi="Times New Roman" w:cs="Times New Roman"/>
          <w:b/>
          <w:bCs/>
          <w:sz w:val="24"/>
          <w:szCs w:val="24"/>
          <w:lang w:val="zh-CN"/>
        </w:rPr>
      </w:pPr>
      <w:r>
        <w:rPr>
          <w:rFonts w:hint="default" w:ascii="Times New Roman" w:hAnsi="Times New Roman" w:cs="Times New Roman"/>
          <w:sz w:val="24"/>
          <w:szCs w:val="24"/>
          <w:lang w:val="zh-CN"/>
        </w:rPr>
        <w:t>Dalam tujuan kedua, Pihak fasilitas kesehatan yang ada di Pulau Bawean senantiasa memberikan pelayanan yang tanggap, cepat, maksimal, dan sesuai dengan standar yang diterapkan, baik pelayanan promotif, preventif, kuratif, dan rehabilitatif. Sudah sepatutnya fasilitas pelayanan kesehatan menjembatani usaha-usaha pelayanan kesehatan mulai dari promotif, preventif, kuratif, dan rehabilitatif sesuai dengan ketentuan yang ada, sebagaimana yang tercantum dalam Pasal 1 Peraturan Menteri Kesehatan Nomor 71 Tahun 2013 Tentang Pelayanan Kesehatan pada Jaminan Kesehatan Nasional</w:t>
      </w:r>
      <w:r>
        <w:rPr>
          <w:rFonts w:hint="default" w:ascii="Times New Roman" w:hAnsi="Times New Roman" w:cs="Times New Roman"/>
          <w:b/>
          <w:bCs/>
          <w:sz w:val="24"/>
          <w:szCs w:val="24"/>
          <w:lang w:val="zh-CN"/>
        </w:rPr>
        <w:t>.</w:t>
      </w:r>
    </w:p>
    <w:p w14:paraId="177E1D44">
      <w:pPr>
        <w:pStyle w:val="141"/>
        <w:spacing w:line="360" w:lineRule="auto"/>
        <w:ind w:left="0" w:leftChars="0" w:firstLine="720" w:firstLineChars="0"/>
        <w:rPr>
          <w:rFonts w:hint="default" w:ascii="Times New Roman" w:hAnsi="Times New Roman" w:cs="Times New Roman"/>
          <w:b/>
          <w:bCs/>
          <w:sz w:val="24"/>
          <w:szCs w:val="24"/>
          <w:lang w:val="en-US"/>
        </w:rPr>
      </w:pPr>
      <w:r>
        <w:rPr>
          <w:rFonts w:hint="default" w:ascii="Times New Roman" w:hAnsi="Times New Roman" w:cs="Times New Roman"/>
          <w:sz w:val="24"/>
          <w:szCs w:val="24"/>
          <w:lang w:val="zh-CN"/>
        </w:rPr>
        <w:t>Dalam tujuan ketiga, masyarakat semakin mudah dalam menjangkau fasilitas dan pelayanan kesehatan yang dibutuhkan, baik dari segi persyaratan, biaya, dan geografi. Hal tersebut sejalan dengan asas-asas penyelenggaraan pelayanan publik dalam Undang-Undang Nomor 25 Tahun 2009 tentang Pelayanan Publik yang mana pelayanan publik harus memperhatikan asas kecepatan, kemudahan dan keterjangkauan</w:t>
      </w:r>
      <w:r>
        <w:rPr>
          <w:rFonts w:hint="default" w:ascii="Times New Roman" w:hAnsi="Times New Roman" w:cs="Times New Roman"/>
          <w:b/>
          <w:bCs/>
          <w:sz w:val="24"/>
          <w:szCs w:val="24"/>
          <w:lang w:val="zh-CN"/>
        </w:rPr>
        <w:t xml:space="preserve">. </w:t>
      </w:r>
      <w:r>
        <w:rPr>
          <w:rFonts w:hint="default" w:ascii="Times New Roman" w:hAnsi="Times New Roman" w:cs="Times New Roman"/>
          <w:sz w:val="24"/>
          <w:szCs w:val="24"/>
          <w:lang w:val="zh-CN"/>
        </w:rPr>
        <w:t xml:space="preserve">Terkait upaya yang dilakukan untuk memberikan informasi dan pemahaman masyarakat terkait penyelenggaraan UHC, sudah dilaksanakan melalui sosialisasi. Akan tetapi masyaralat cenderung mengetahui UHC dari Grup WhatsApp desa, petugas puskesmas, dan orang-perorangan. </w:t>
      </w:r>
      <w:r>
        <w:rPr>
          <w:rFonts w:hint="default" w:ascii="Times New Roman" w:hAnsi="Times New Roman" w:eastAsia="Calibri" w:cs="Times New Roman"/>
          <w:color w:val="auto"/>
          <w:kern w:val="2"/>
          <w:sz w:val="24"/>
          <w:szCs w:val="24"/>
          <w:highlight w:val="none"/>
          <w:lang w:val="en-US" w:eastAsia="zh-CN" w:bidi="ar"/>
        </w:rPr>
        <w:t xml:space="preserve">Edward dalam </w:t>
      </w:r>
      <w:r>
        <w:rPr>
          <w:rFonts w:hint="default" w:ascii="Times New Roman" w:hAnsi="Times New Roman" w:eastAsia="Calibri" w:cs="Times New Roman"/>
          <w:color w:val="auto"/>
          <w:kern w:val="2"/>
          <w:sz w:val="24"/>
          <w:szCs w:val="24"/>
          <w:lang w:val="en-US" w:eastAsia="zh-CN" w:bidi="ar"/>
        </w:rPr>
        <w:fldChar w:fldCharType="begin" w:fldLock="1"/>
      </w:r>
      <w:r>
        <w:rPr>
          <w:rFonts w:hint="default" w:ascii="Times New Roman" w:hAnsi="Times New Roman" w:eastAsia="Calibri" w:cs="Times New Roman"/>
          <w:color w:val="auto"/>
          <w:kern w:val="2"/>
          <w:sz w:val="24"/>
          <w:szCs w:val="24"/>
          <w:lang w:val="en-US" w:eastAsia="zh-CN" w:bidi="ar"/>
        </w:rPr>
        <w:instrText xml:space="preserve">ADDIN CSL_CITATION {"citationItems":[{"id":"ITEM-1","itemData":{"ISBN":"9786239474362","abstract":"Buku kebijakan publik ini diterbitkan sebagai bahan pengajaran dan bahan penambahan wawasan serta keilmuan khalayak umum, karena akan banyak berkontribusi, baik dibidang riset, pengetahuan, wawasan dan keilmuan bagi para calon sarjana maupun pembaca …","author":[{"dropping-particle":"","family":"Pramono","given":"Joko","non-dropping-particle":"","parse-names":false,"suffix":""}],"container-title":"Kebijakan Publik","id":"ITEM-1","issued":{"date-parts":[["2020"]]},"number-of-pages":"1-144","title":"Implementasi dan Evaluasi Kebijakan Publik","type":"book"},"uris":["http://www.mendeley.com/documents/?uuid=2037b264-74fe-4c64-918a-e57b83c13ae3"]}],"mendeley":{"formattedCitation":"(Pramono, 2020)","plainTextFormattedCitation":"(Pramono, 2020)"},"properties":{"noteIndex":0},"schema":"https://github.com/citation-style-language/schema/raw/master/csl-citation.json"}</w:instrText>
      </w:r>
      <w:r>
        <w:rPr>
          <w:rFonts w:hint="default" w:ascii="Times New Roman" w:hAnsi="Times New Roman" w:eastAsia="Calibri" w:cs="Times New Roman"/>
          <w:color w:val="auto"/>
          <w:kern w:val="2"/>
          <w:sz w:val="24"/>
          <w:szCs w:val="24"/>
          <w:lang w:val="en-US" w:eastAsia="zh-CN" w:bidi="ar"/>
        </w:rPr>
        <w:fldChar w:fldCharType="separate"/>
      </w:r>
      <w:r>
        <w:rPr>
          <w:rFonts w:hint="default" w:ascii="Times New Roman" w:hAnsi="Times New Roman" w:eastAsia="Calibri" w:cs="Times New Roman"/>
          <w:color w:val="auto"/>
          <w:kern w:val="2"/>
          <w:sz w:val="24"/>
          <w:szCs w:val="24"/>
          <w:lang w:val="en-US" w:eastAsia="zh-CN" w:bidi="ar"/>
        </w:rPr>
        <w:t>Pramono (2020)</w:t>
      </w:r>
      <w:r>
        <w:rPr>
          <w:rFonts w:hint="default" w:ascii="Times New Roman" w:hAnsi="Times New Roman" w:eastAsia="Calibri" w:cs="Times New Roman"/>
          <w:color w:val="auto"/>
          <w:kern w:val="2"/>
          <w:sz w:val="24"/>
          <w:szCs w:val="24"/>
          <w:lang w:val="en-US" w:eastAsia="zh-CN" w:bidi="ar"/>
        </w:rPr>
        <w:fldChar w:fldCharType="end"/>
      </w:r>
      <w:r>
        <w:rPr>
          <w:rFonts w:hint="default" w:ascii="Times New Roman" w:hAnsi="Times New Roman" w:eastAsia="Calibri" w:cs="Times New Roman"/>
          <w:color w:val="auto"/>
          <w:kern w:val="2"/>
          <w:sz w:val="24"/>
          <w:szCs w:val="24"/>
          <w:lang w:val="en-US" w:eastAsia="zh-CN" w:bidi="ar"/>
        </w:rPr>
        <w:t xml:space="preserve"> memaparkan bahwa k</w:t>
      </w:r>
      <w:r>
        <w:rPr>
          <w:rFonts w:hint="default" w:ascii="Times New Roman" w:hAnsi="Times New Roman" w:cs="Times New Roman"/>
          <w:sz w:val="24"/>
          <w:szCs w:val="24"/>
          <w:lang w:val="zh-CN"/>
        </w:rPr>
        <w:t>omunikasi kebijakan penting dilakukan kepada kelompok sasaran untuk meningkatkan pemahaman mereka terkait pelaksanaan kebijakan</w:t>
      </w:r>
      <w:r>
        <w:rPr>
          <w:rFonts w:hint="default" w:cs="Times New Roman"/>
          <w:sz w:val="24"/>
          <w:szCs w:val="24"/>
          <w:lang w:val="en-US"/>
        </w:rPr>
        <w:t>.</w:t>
      </w:r>
    </w:p>
    <w:p w14:paraId="530AB169">
      <w:pPr>
        <w:pStyle w:val="141"/>
        <w:spacing w:line="360" w:lineRule="auto"/>
        <w:ind w:left="0" w:leftChars="0" w:firstLine="720"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Berdasarkan uraian diatas dapat disimpulkan bahwa pelaksanaan UHC PBID di Pulau Bawean telah mencapai tujuan yang ada dalam Peraturan Bupati Gresik Nomor 60 Tahun 2022. Akan tetapi, pada tujuan pertama, idak dapat dipastikan berapa persen jumlah penduduk Pulau Bawean yang memang terdaftar dalam jaminan kesehatan nasional karena ketidaksinkronan yang telah dijelaskan.</w:t>
      </w:r>
    </w:p>
    <w:p w14:paraId="224E7245">
      <w:pPr>
        <w:pStyle w:val="141"/>
        <w:numPr>
          <w:ilvl w:val="0"/>
          <w:numId w:val="6"/>
        </w:numPr>
        <w:spacing w:line="360" w:lineRule="auto"/>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Mengukur Apakah Klien atau Partisipan Bergerak ke Arah Tujuan yang Diinginkan</w:t>
      </w:r>
    </w:p>
    <w:p w14:paraId="2AC2D76B">
      <w:pPr>
        <w:pStyle w:val="141"/>
        <w:spacing w:line="360" w:lineRule="auto"/>
        <w:ind w:left="0" w:leftChars="0" w:firstLine="720" w:firstLineChars="0"/>
        <w:rPr>
          <w:rFonts w:hint="default" w:ascii="Times New Roman" w:hAnsi="Times New Roman" w:cs="Times New Roman"/>
          <w:b/>
          <w:bCs/>
          <w:sz w:val="24"/>
          <w:szCs w:val="24"/>
          <w:lang w:val="zh-CN"/>
        </w:rPr>
      </w:pPr>
      <w:r>
        <w:rPr>
          <w:rFonts w:hint="default" w:ascii="Times New Roman" w:hAnsi="Times New Roman" w:cs="Times New Roman"/>
          <w:sz w:val="24"/>
          <w:szCs w:val="24"/>
          <w:lang w:val="zh-CN"/>
        </w:rPr>
        <w:t>Pelaksanaan UHC PBID di Kabupaten Gresik termasuk di Pulau Bawean, berpedoman pada Peraturan Bupati Gresik Nomor 60 Tahun 2022 tentang Penyelenggaraan Universal Health Coverage Dalam Program Jaminan Kesehatan Nasional di Kabupaten Gresik. Selain itu juga terdapat SOP pengawasan dan pengendalian serta alur sebagai pendukung pelayanan. Hal tersebut sebagaimana yang diungkapkan pasal 10 Undang-Undang Nomor 25 Tahun 2009 tentang Pelayanan Publik yang mana mengatakan bahwa satu diantara beberapa komponen standar pelayanan adalah sistem, mekanisme, dan prosedur.</w:t>
      </w:r>
    </w:p>
    <w:p w14:paraId="671DACEF">
      <w:pPr>
        <w:pStyle w:val="141"/>
        <w:spacing w:line="360" w:lineRule="auto"/>
        <w:ind w:left="0" w:leftChars="0" w:firstLine="720"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Berdasarkan kuantitas terus terdapat kenaikan keikutsertaan masyarakat dalam UHC PBID ini. Data yang ada menunjukan bahwa kepesertaan UHC PBID di kedua kecamatan memiliki rincian, untuk Kecamatan Sangkapura per Oktober 2022 berjumlah 10.528 dan di bulan Maret 2024 berjumlah 11.704. Sedangkan untuk Kecamatan Tambak per Oktober 2022 berjumlah 6.320 dan di Bulan Maret 2024 7635. Peningkatan tersebut merupakan bentuk pertanggungjawaban Pemerintah Daerah kepada Penduduk Daerah untuk menjadi peserta PBID, sebagaimana pasal 10 Peraturan Bupati Gresik Nomor 60 Tahun 2022.</w:t>
      </w:r>
    </w:p>
    <w:p w14:paraId="44578A37">
      <w:pPr>
        <w:pStyle w:val="141"/>
        <w:spacing w:line="360" w:lineRule="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Berdasarkan kualitas, adanya UHC PBID sangat bermanfaat bagi Masyarakat Pulau Bawean karena dapat menjangkau layanan secara gratis. Terkait layanan UHC PBID sendiri telah memberikan kepuasan bagi Masyarakat, baik dari hal kenyamanan fasilitas kesehatan, maupun sikap petugas yang cepat, ramah tanggap, dan informatif. Hal tersebut sesuai telah memenuhi indikator - indikator dalam mengukur pelayanan publik menurut Parasuraman Parasuraman dkk dalam Mulyawan</w:t>
      </w:r>
      <w:r>
        <w:rPr>
          <w:rFonts w:hint="default" w:cs="Times New Roman"/>
          <w:sz w:val="24"/>
          <w:szCs w:val="24"/>
          <w:lang w:val="en-US"/>
        </w:rPr>
        <w:t xml:space="preserve"> (2016)</w:t>
      </w:r>
      <w:r>
        <w:rPr>
          <w:rFonts w:hint="default" w:ascii="Times New Roman" w:hAnsi="Times New Roman" w:cs="Times New Roman"/>
          <w:sz w:val="24"/>
          <w:szCs w:val="24"/>
          <w:lang w:val="zh-CN"/>
        </w:rPr>
        <w:t xml:space="preserve">, yang mana terdiri dari </w:t>
      </w:r>
      <w:r>
        <w:rPr>
          <w:rFonts w:hint="default" w:ascii="Times New Roman" w:hAnsi="Times New Roman" w:cs="Times New Roman"/>
          <w:i/>
          <w:iCs/>
          <w:sz w:val="24"/>
          <w:szCs w:val="24"/>
          <w:lang w:val="zh-CN"/>
        </w:rPr>
        <w:t>tangible, reliability, responsiveness, assurance, and emphaty.</w:t>
      </w:r>
      <w:r>
        <w:rPr>
          <w:rFonts w:hint="default" w:ascii="Times New Roman" w:hAnsi="Times New Roman" w:cs="Times New Roman"/>
          <w:sz w:val="24"/>
          <w:szCs w:val="24"/>
          <w:lang w:val="zh-CN"/>
        </w:rPr>
        <w:t xml:space="preserve"> </w:t>
      </w:r>
    </w:p>
    <w:p w14:paraId="0FB7B77B">
      <w:pPr>
        <w:pStyle w:val="141"/>
        <w:spacing w:line="360" w:lineRule="auto"/>
        <w:ind w:left="0" w:leftChars="0" w:firstLine="720" w:firstLineChars="0"/>
        <w:rPr>
          <w:rFonts w:hint="default" w:ascii="Times New Roman" w:hAnsi="Times New Roman" w:cs="Times New Roman"/>
          <w:sz w:val="24"/>
          <w:szCs w:val="24"/>
          <w:lang w:val="zh-CN"/>
        </w:rPr>
      </w:pPr>
      <w:r>
        <w:rPr>
          <w:rFonts w:hint="default" w:ascii="Times New Roman" w:hAnsi="Times New Roman" w:cs="Times New Roman"/>
          <w:sz w:val="24"/>
          <w:szCs w:val="24"/>
          <w:lang w:val="zh-CN"/>
        </w:rPr>
        <w:t>Dari penjelasan tersebut dapat disimpulkan bahwa, dalam pelaksanaan UHC di Pulau Bawean klien atau partisipan telah bergerak ke arah tujuan yang diinginkan. Dilihat dari segi kuantitas keikutsertaan masyarakat dalam UHC PBID mengalami peningkatan. Dilihat dari segi kualitas pelayanan, Sebagian Masyarakat merasa puas akan pelayanan yang diberikan, baik dari kenyamanan fasilitas dan sikap pegawai.</w:t>
      </w:r>
    </w:p>
    <w:p w14:paraId="7C56A38B">
      <w:pPr>
        <w:pStyle w:val="141"/>
        <w:numPr>
          <w:ilvl w:val="0"/>
          <w:numId w:val="6"/>
        </w:numPr>
        <w:spacing w:line="360" w:lineRule="auto"/>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Mengukur Apakah Sumber-Sumber Telah Dipergunakan Sesuai Dengan Rencana</w:t>
      </w:r>
    </w:p>
    <w:p w14:paraId="30002957">
      <w:pPr>
        <w:spacing w:line="360" w:lineRule="auto"/>
        <w:ind w:firstLine="720" w:firstLineChars="0"/>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rPr>
        <w:t xml:space="preserve">Dalam fokus ini akan dieksplorasi apakah anggaran, tenaga kerja kesehatan, dan peralatan yang mendukung pemberian layanan UHC di Pulau Bawean telah digunakan sesuai dengan rencana atau tidak. Ketiga komponen ini sangat penting untuk kesinambungan UHC.Anggaran dalam UHC PBID ini bersumber dari APBD, dan sampai saat ini belum ditemukan kekurangan dalam hal anggaran. Sebagaimana yang diamanatkan dalam </w:t>
      </w:r>
      <w:r>
        <w:rPr>
          <w:rFonts w:hint="default" w:ascii="Times New Roman" w:hAnsi="Times New Roman" w:eastAsia="Calibri" w:cs="Times New Roman"/>
          <w:sz w:val="24"/>
          <w:szCs w:val="24"/>
          <w:lang w:val="zh-CN"/>
        </w:rPr>
        <w:t>Instruksi Presiden Republik Indonesia Nomor 1 tahun 2022 tentang Optimalisasi Pelaksanaan Program Jaminan Kesehatan Nasional mengamanatkan Gubernur serta Bupati atau wali kota untuk menyusun dan menetapkan regulasi serta kemudian  mendistribusikan anggaran sebagai wujud memaksimalkan pelaksanaan program jaminan kesehatan nasional</w:t>
      </w:r>
      <w:r>
        <w:rPr>
          <w:rFonts w:hint="default" w:ascii="Times New Roman" w:hAnsi="Times New Roman" w:eastAsia="Calibri" w:cs="Times New Roman"/>
          <w:b/>
          <w:bCs/>
          <w:sz w:val="24"/>
          <w:szCs w:val="24"/>
          <w:lang w:val="zh-CN"/>
        </w:rPr>
        <w:t>.</w:t>
      </w:r>
    </w:p>
    <w:p w14:paraId="116A09D5">
      <w:pPr>
        <w:spacing w:line="360" w:lineRule="auto"/>
        <w:ind w:firstLine="360"/>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Tenaga Kesehatan baik di Puskesmas maupun di Rumah Sakit Pulau Bawean sampai saat ini masih mengalami kekurangan. Hal tersebut berdampak pada pelaksanaan pelayanan kesehatan. Kondisi Bawean sebagai daerah terpencil dengan kondisi minim tenaga kesehatan diperparah lagi dengan pemutasian tenaga kesehatan tanpa adanya kesehatan pengganti. Hal tersebut harus menjadi perhatian pemerintah.  Undang-Undang Nomor 17 Tahun 2023 tentang Tenaga Kesehatan Pasal 202, yang mana dijelaskan bahwa pemerintah dan pemerintah daerah wajib memenuhi kebutuhan akan tenaga kesehatan, baik dalam jumlah, jenis, maupun kompetensi secara merata dalam menjamin kelangsungan pembangunan di bidang kesehatan</w:t>
      </w:r>
      <w:r>
        <w:rPr>
          <w:rFonts w:hint="default" w:ascii="Times New Roman" w:hAnsi="Times New Roman" w:eastAsia="Calibri" w:cs="Times New Roman"/>
          <w:b/>
          <w:bCs/>
          <w:sz w:val="24"/>
          <w:szCs w:val="24"/>
          <w:lang w:val="zh-CN"/>
        </w:rPr>
        <w:t>.</w:t>
      </w:r>
    </w:p>
    <w:p w14:paraId="59FC3F0D">
      <w:pPr>
        <w:spacing w:line="360" w:lineRule="auto"/>
        <w:ind w:firstLine="360"/>
        <w:jc w:val="both"/>
        <w:rPr>
          <w:rFonts w:hint="default" w:ascii="Times New Roman" w:hAnsi="Times New Roman" w:eastAsia="Calibri" w:cs="Times New Roman"/>
          <w:b/>
          <w:bCs/>
          <w:sz w:val="24"/>
          <w:szCs w:val="24"/>
          <w:lang w:val="zh-CN"/>
        </w:rPr>
      </w:pPr>
      <w:r>
        <w:rPr>
          <w:rFonts w:hint="default" w:ascii="Times New Roman" w:hAnsi="Times New Roman" w:eastAsia="Calibri" w:cs="Times New Roman"/>
          <w:sz w:val="24"/>
          <w:szCs w:val="24"/>
          <w:lang w:val="zh-CN"/>
        </w:rPr>
        <w:t>Sarana prasarana dan alat kesehatan serta obat di dua Puskesmas dan Satu Rumah Sakit yang bekerja sama dengan BPJS Sebagian besar mengatakan bahwa belum ada kekurangan baik sarana prasarana, alat kesehatan maupun obat. Hanya saja untuk Puskesmas Tambak masih perlu pemenuhan di Sebagian besar alat kesehatan. Undang-Undang Nomor 17 Tahun 2023 tentang Kesehatan pada bagian perbekalan kesehatan menjelaskan  Pemerintah baik Pemerintah Pusat maupun Pemerintah Daerah bertanggung jawab terhadap ketersediaan, pemerataan, dan keterjangkauan perbekalan Kesehatan yang dibutuhkan dalam rangka melaksanakan upaya kesehatan. Perbekalan Kesehatan yang dimaksud tersebut termasuk terkait ketersediaan, pemerataan,dan keterjangkaan terhadap obat dan alat kesehatan</w:t>
      </w:r>
      <w:r>
        <w:rPr>
          <w:rFonts w:hint="default" w:ascii="Times New Roman" w:hAnsi="Times New Roman" w:eastAsia="Calibri" w:cs="Times New Roman"/>
          <w:b/>
          <w:bCs/>
          <w:sz w:val="24"/>
          <w:szCs w:val="24"/>
          <w:lang w:val="zh-CN"/>
        </w:rPr>
        <w:t>.</w:t>
      </w:r>
    </w:p>
    <w:p w14:paraId="409646B0">
      <w:pPr>
        <w:spacing w:line="360" w:lineRule="auto"/>
        <w:ind w:firstLine="360"/>
        <w:jc w:val="both"/>
        <w:rPr>
          <w:sz w:val="24"/>
          <w:szCs w:val="24"/>
          <w:lang w:val="zh-CN"/>
        </w:rPr>
      </w:pPr>
      <w:r>
        <w:rPr>
          <w:rFonts w:hint="default" w:ascii="Times New Roman" w:hAnsi="Times New Roman" w:cs="Times New Roman"/>
          <w:sz w:val="24"/>
          <w:szCs w:val="24"/>
          <w:lang w:val="zh-CN"/>
        </w:rPr>
        <w:t>Dari penjelasan tersebut dapat disimpulkan bahwa, dalam pelaksanaan UHC di Pulau Bawean sumber-sumber</w:t>
      </w:r>
      <w:r>
        <w:rPr>
          <w:rFonts w:hint="default" w:cs="Times New Roman"/>
          <w:sz w:val="24"/>
          <w:szCs w:val="24"/>
          <w:lang w:val="en-US"/>
        </w:rPr>
        <w:t xml:space="preserve"> </w:t>
      </w:r>
      <w:r>
        <w:rPr>
          <w:sz w:val="24"/>
          <w:szCs w:val="24"/>
          <w:lang w:val="zh-CN"/>
        </w:rPr>
        <w:t>belum sepenuhnya dipergunakan sesuai dengan rencana, yakni pada sumber tenaga, tenaga yang dimaksud adalah tenaga kesehatan.</w:t>
      </w:r>
    </w:p>
    <w:p w14:paraId="426D3FA9">
      <w:pPr>
        <w:spacing w:line="360" w:lineRule="auto"/>
        <w:ind w:firstLine="360"/>
        <w:jc w:val="both"/>
        <w:rPr>
          <w:rFonts w:hint="default"/>
          <w:sz w:val="24"/>
          <w:szCs w:val="24"/>
          <w:lang w:val="en-US"/>
        </w:rPr>
      </w:pPr>
    </w:p>
    <w:p w14:paraId="6E752E12">
      <w:pPr>
        <w:tabs>
          <w:tab w:val="left" w:pos="709"/>
        </w:tabs>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Conclusion</w:t>
      </w:r>
    </w:p>
    <w:p w14:paraId="44FDD709">
      <w:pPr>
        <w:spacing w:line="360" w:lineRule="auto"/>
        <w:ind w:firstLine="360"/>
        <w:jc w:val="both"/>
        <w:rPr>
          <w:rFonts w:eastAsia="Calibri"/>
          <w:sz w:val="24"/>
          <w:szCs w:val="24"/>
          <w:lang w:val="zh-CN"/>
        </w:rPr>
      </w:pPr>
      <w:r>
        <w:rPr>
          <w:rFonts w:hint="default" w:eastAsia="Calibri"/>
          <w:sz w:val="24"/>
          <w:szCs w:val="24"/>
          <w:lang w:val="en-US"/>
        </w:rPr>
        <w:t xml:space="preserve">Penelitian ini menyimpulkan bahwa </w:t>
      </w:r>
      <w:r>
        <w:rPr>
          <w:rFonts w:eastAsia="Calibri"/>
          <w:sz w:val="24"/>
          <w:szCs w:val="24"/>
          <w:lang w:val="zh-CN"/>
        </w:rPr>
        <w:t xml:space="preserve">pelaksanaan UHC di Pulau Bawean telah mencapai tujuan UHC dalam fokus pertama, klien atau partisipan telah bergerak ke arah tujuan yang diinginkan, tetapi sumber-sumber belum sepenuhnya dipergunakan sesuai dengan rencana. Dalam dilakukannya evaluasi menghasilkan koreksi  atau saran diantaranya Perlunya sinkronisasi data antara data keikutsertaan jaminan kesehatan nasional dengan data kependudukan, agar dapat diketahui capaian UHC Pulau Bawean yang sebenarnya, sehingga pelaksanaan UHC dapat semakin menyeluruh, perlunya diperhatikan lagi bagi fasilitas kesehatan yang ada terkait ketersediaan dan ketentuan pemberian obat. Perlunya pemenuhan tenaga kesehatan secara masif. Pemutasian tenaga kesehatan yang ada di Pulau Bawean harus diiringi dengan pemenuhan kembali tenaga kesehatan. </w:t>
      </w:r>
    </w:p>
    <w:p w14:paraId="424EEC42">
      <w:pPr>
        <w:spacing w:line="360" w:lineRule="auto"/>
        <w:ind w:firstLine="360"/>
        <w:jc w:val="both"/>
        <w:rPr>
          <w:rFonts w:hint="default" w:eastAsia="Calibri"/>
          <w:sz w:val="24"/>
          <w:szCs w:val="24"/>
          <w:lang w:val="en-US"/>
        </w:rPr>
      </w:pPr>
    </w:p>
    <w:p w14:paraId="79F21848">
      <w:pPr>
        <w:tabs>
          <w:tab w:val="left" w:pos="0"/>
        </w:tabs>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Acknowledgments</w:t>
      </w:r>
    </w:p>
    <w:p w14:paraId="07991DD9">
      <w:pPr>
        <w:spacing w:line="360" w:lineRule="auto"/>
        <w:ind w:firstLine="720" w:firstLineChars="0"/>
        <w:jc w:val="both"/>
        <w:rPr>
          <w:rFonts w:hint="default" w:cs="Times New Roman"/>
          <w:bCs/>
          <w:sz w:val="24"/>
          <w:szCs w:val="24"/>
          <w:lang w:val="en-US"/>
        </w:rPr>
      </w:pPr>
      <w:r>
        <w:rPr>
          <w:rFonts w:hint="default" w:cs="Times New Roman"/>
          <w:bCs/>
          <w:sz w:val="24"/>
          <w:szCs w:val="24"/>
          <w:lang w:val="en-US"/>
        </w:rPr>
        <w:t xml:space="preserve">Segala puji dan syukur atas kehadirat Allah SWT, atas berkat, rahmat, dan hidayahnya, penulis dapat menyelesaikan artikel jurnal ini. </w:t>
      </w:r>
      <w:r>
        <w:rPr>
          <w:rFonts w:hint="default" w:ascii="Times New Roman" w:hAnsi="Times New Roman" w:cs="Times New Roman"/>
          <w:color w:val="auto"/>
          <w:sz w:val="24"/>
          <w:szCs w:val="24"/>
          <w:lang w:val="en-US"/>
        </w:rPr>
        <w:t xml:space="preserve">Peneliti mengucapkan terima kasih kepada Ibu Dra. Sri Wibawani, M.Si, selaku dosen pembimbing atas </w:t>
      </w:r>
      <w:r>
        <w:rPr>
          <w:rFonts w:hint="default" w:ascii="Times New Roman" w:hAnsi="Times New Roman" w:eastAsia="SimSun" w:cs="Times New Roman"/>
          <w:color w:val="auto"/>
          <w:kern w:val="0"/>
          <w:sz w:val="24"/>
          <w:szCs w:val="24"/>
          <w:lang w:val="en-US" w:eastAsia="zh-CN" w:bidi="ar"/>
        </w:rPr>
        <w:t xml:space="preserve">segala perhatian, bimbingan, nasihat, motivasi, serta arahan yang bermanfaat kepada peneliti. </w:t>
      </w:r>
      <w:r>
        <w:rPr>
          <w:rFonts w:hint="default" w:ascii="Times New Roman" w:hAnsi="Times New Roman" w:cs="Times New Roman"/>
          <w:color w:val="auto"/>
          <w:sz w:val="24"/>
          <w:szCs w:val="24"/>
        </w:rPr>
        <w:t>Pada kesempatan ini, pen</w:t>
      </w:r>
      <w:r>
        <w:rPr>
          <w:rFonts w:hint="default" w:ascii="Times New Roman" w:hAnsi="Times New Roman" w:cs="Times New Roman"/>
          <w:color w:val="auto"/>
          <w:sz w:val="24"/>
          <w:szCs w:val="24"/>
          <w:lang w:val="en-US"/>
        </w:rPr>
        <w:t>eliti</w:t>
      </w:r>
      <w:r>
        <w:rPr>
          <w:rFonts w:hint="default" w:ascii="Times New Roman" w:hAnsi="Times New Roman" w:cs="Times New Roman"/>
          <w:color w:val="auto"/>
          <w:sz w:val="24"/>
          <w:szCs w:val="24"/>
        </w:rPr>
        <w:t xml:space="preserve"> juga menyampaikan terima kasih kepada </w:t>
      </w:r>
      <w:r>
        <w:rPr>
          <w:rFonts w:hint="default" w:ascii="Times New Roman" w:hAnsi="Times New Roman" w:cs="Times New Roman"/>
          <w:color w:val="auto"/>
          <w:sz w:val="24"/>
          <w:szCs w:val="24"/>
          <w:lang w:val="en-US"/>
        </w:rPr>
        <w:t xml:space="preserve">orang tua peneliti, kerabat, keluarga, teman, dan sahabat serta </w:t>
      </w:r>
      <w:r>
        <w:rPr>
          <w:rFonts w:hint="default" w:ascii="Times New Roman" w:hAnsi="Times New Roman" w:cs="Times New Roman"/>
          <w:color w:val="auto"/>
          <w:sz w:val="24"/>
          <w:szCs w:val="24"/>
        </w:rPr>
        <w:t xml:space="preserve">seluruh pihak yang telah turut serta membantu terselesaikannya </w:t>
      </w:r>
      <w:r>
        <w:rPr>
          <w:rFonts w:hint="default" w:ascii="Times New Roman" w:hAnsi="Times New Roman" w:cs="Times New Roman"/>
          <w:color w:val="auto"/>
          <w:sz w:val="24"/>
          <w:szCs w:val="24"/>
          <w:lang w:val="en-US"/>
        </w:rPr>
        <w:t>artikel ini.</w:t>
      </w:r>
      <w:r>
        <w:rPr>
          <w:rFonts w:hint="default" w:cs="Times New Roman"/>
          <w:bCs/>
          <w:sz w:val="24"/>
          <w:szCs w:val="24"/>
          <w:lang w:val="en-US"/>
        </w:rPr>
        <w:t xml:space="preserve"> </w:t>
      </w:r>
    </w:p>
    <w:p w14:paraId="06110E95">
      <w:pPr>
        <w:spacing w:line="360" w:lineRule="auto"/>
        <w:jc w:val="both"/>
        <w:rPr>
          <w:rFonts w:hint="default" w:ascii="Times New Roman" w:hAnsi="Times New Roman" w:cs="Times New Roman"/>
          <w:bCs/>
          <w:sz w:val="24"/>
          <w:szCs w:val="24"/>
        </w:rPr>
      </w:pPr>
    </w:p>
    <w:p w14:paraId="15388849">
      <w:pPr>
        <w:spacing w:line="360" w:lineRule="auto"/>
        <w:jc w:val="both"/>
        <w:rPr>
          <w:rFonts w:hint="default" w:ascii="Times New Roman" w:hAnsi="Times New Roman" w:cs="Times New Roman"/>
          <w:bCs/>
          <w:sz w:val="24"/>
          <w:szCs w:val="24"/>
        </w:rPr>
      </w:pPr>
    </w:p>
    <w:p w14:paraId="727748B2">
      <w:pPr>
        <w:spacing w:line="36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References</w:t>
      </w:r>
      <w:bookmarkStart w:id="2" w:name="_GoBack"/>
      <w:bookmarkEnd w:id="2"/>
    </w:p>
    <w:sdt>
      <w:sdtPr>
        <w:rPr>
          <w:rFonts w:hint="default" w:ascii="Times New Roman" w:hAnsi="Times New Roman" w:cs="Times New Roman"/>
          <w:sz w:val="24"/>
          <w:szCs w:val="24"/>
        </w:rPr>
        <w:tag w:val="MENDELEY_BIBLIOGRAPHY"/>
        <w:id w:val="-155387231"/>
        <w:placeholder>
          <w:docPart w:val="1B7721E12E493446AA46D0B7E2F8A226"/>
        </w:placeholder>
      </w:sdtPr>
      <w:sdtEndPr>
        <w:rPr>
          <w:rFonts w:hint="default" w:ascii="Times New Roman" w:hAnsi="Times New Roman" w:cs="Times New Roman"/>
          <w:sz w:val="24"/>
          <w:szCs w:val="24"/>
        </w:rPr>
      </w:sdtEndPr>
      <w:sdtContent>
        <w:p w14:paraId="376B1C5F">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b/>
              <w:bCs/>
              <w:color w:val="auto"/>
              <w:sz w:val="24"/>
              <w:szCs w:val="24"/>
            </w:rPr>
            <w:fldChar w:fldCharType="begin" w:fldLock="1"/>
          </w:r>
          <w:r>
            <w:rPr>
              <w:rFonts w:hint="default" w:ascii="Times New Roman" w:hAnsi="Times New Roman" w:cs="Times New Roman"/>
              <w:b/>
              <w:bCs/>
              <w:color w:val="auto"/>
              <w:sz w:val="24"/>
              <w:szCs w:val="24"/>
            </w:rPr>
            <w:instrText xml:space="preserve">ADDIN Mendeley Bibliography CSL_BIBLIOGRAPHY </w:instrText>
          </w:r>
          <w:r>
            <w:rPr>
              <w:rFonts w:hint="default" w:ascii="Times New Roman" w:hAnsi="Times New Roman" w:cs="Times New Roman"/>
              <w:b/>
              <w:bCs/>
              <w:color w:val="auto"/>
              <w:sz w:val="24"/>
              <w:szCs w:val="24"/>
            </w:rPr>
            <w:fldChar w:fldCharType="separate"/>
          </w:r>
          <w:r>
            <w:rPr>
              <w:rFonts w:hint="default" w:ascii="Times New Roman" w:hAnsi="Times New Roman" w:cs="Times New Roman"/>
              <w:color w:val="auto"/>
              <w:kern w:val="0"/>
              <w:sz w:val="24"/>
              <w:szCs w:val="24"/>
            </w:rPr>
            <w:t xml:space="preserve">Anggara, S. (2014). </w:t>
          </w:r>
          <w:r>
            <w:rPr>
              <w:rFonts w:hint="default" w:ascii="Times New Roman" w:hAnsi="Times New Roman" w:cs="Times New Roman"/>
              <w:i/>
              <w:iCs/>
              <w:color w:val="auto"/>
              <w:kern w:val="0"/>
              <w:sz w:val="24"/>
              <w:szCs w:val="24"/>
            </w:rPr>
            <w:t>Kebijakan Publik</w:t>
          </w:r>
          <w:r>
            <w:rPr>
              <w:rFonts w:hint="default" w:ascii="Times New Roman" w:hAnsi="Times New Roman" w:cs="Times New Roman"/>
              <w:color w:val="auto"/>
              <w:kern w:val="0"/>
              <w:sz w:val="24"/>
              <w:szCs w:val="24"/>
            </w:rPr>
            <w:t>. CV. Pustaka Setia.</w:t>
          </w:r>
        </w:p>
        <w:p w14:paraId="6AF13C1B">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Anggara, S. (2015). </w:t>
          </w:r>
          <w:r>
            <w:rPr>
              <w:rFonts w:hint="default" w:ascii="Times New Roman" w:hAnsi="Times New Roman" w:cs="Times New Roman"/>
              <w:i/>
              <w:iCs/>
              <w:color w:val="auto"/>
              <w:kern w:val="0"/>
              <w:sz w:val="24"/>
              <w:szCs w:val="24"/>
            </w:rPr>
            <w:t>Metode Penelitian Administrasi</w:t>
          </w:r>
          <w:r>
            <w:rPr>
              <w:rFonts w:hint="default" w:ascii="Times New Roman" w:hAnsi="Times New Roman" w:cs="Times New Roman"/>
              <w:color w:val="auto"/>
              <w:kern w:val="0"/>
              <w:sz w:val="24"/>
              <w:szCs w:val="24"/>
            </w:rPr>
            <w:t xml:space="preserve"> (B. A. Saebani (Ed.); I). CV Pustaka Setia.</w:t>
          </w:r>
        </w:p>
        <w:p w14:paraId="060BB448">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Hardani, Auliya, N. H., Andriani, H., Fardani, R. A., Ustiawaty, J., Utami, E. F., Dhika Juliana Sukmana, D., &amp; Istiqomah, R. R. (2020). </w:t>
          </w:r>
          <w:r>
            <w:rPr>
              <w:rFonts w:hint="default" w:ascii="Times New Roman" w:hAnsi="Times New Roman" w:cs="Times New Roman"/>
              <w:i/>
              <w:iCs/>
              <w:color w:val="auto"/>
              <w:kern w:val="0"/>
              <w:sz w:val="24"/>
              <w:szCs w:val="24"/>
            </w:rPr>
            <w:t>Buku Metode Penelitian Kualitatif &amp; Kuantitatif</w:t>
          </w:r>
          <w:r>
            <w:rPr>
              <w:rFonts w:hint="default" w:ascii="Times New Roman" w:hAnsi="Times New Roman" w:cs="Times New Roman"/>
              <w:color w:val="auto"/>
              <w:kern w:val="0"/>
              <w:sz w:val="24"/>
              <w:szCs w:val="24"/>
            </w:rPr>
            <w:t xml:space="preserve"> (H. Abadi (Ed.); 1st ed.). CV. Pustaka Ilmu Group Yogyakarta.</w:t>
          </w:r>
        </w:p>
        <w:p w14:paraId="2E5D40EC">
          <w:pPr>
            <w:pStyle w:val="23"/>
            <w:keepNext w:val="0"/>
            <w:keepLines w:val="0"/>
            <w:widowControl/>
            <w:suppressLineNumbers w:val="0"/>
            <w:spacing w:line="240" w:lineRule="auto"/>
            <w:ind w:left="480" w:hanging="480"/>
            <w:rPr>
              <w:rFonts w:hint="default" w:ascii="Times New Roman" w:hAnsi="Times New Roman" w:cs="Times New Roman"/>
              <w:color w:val="auto"/>
              <w:kern w:val="0"/>
              <w:sz w:val="24"/>
              <w:szCs w:val="24"/>
            </w:rPr>
          </w:pPr>
          <w:r>
            <w:t xml:space="preserve">Laksono et al. (2016). </w:t>
          </w:r>
          <w:r>
            <w:rPr>
              <w:i/>
              <w:iCs/>
            </w:rPr>
            <w:t>Aksesibilitas Pelayanan Kesehatan di Indonesia</w:t>
          </w:r>
          <w:r>
            <w:t xml:space="preserve"> (S. Supriyanto (ed.); 1st ed.). PT Kanisius.</w:t>
          </w:r>
        </w:p>
        <w:p w14:paraId="2A533C7E">
          <w:pPr>
            <w:widowControl w:val="0"/>
            <w:autoSpaceDE w:val="0"/>
            <w:autoSpaceDN w:val="0"/>
            <w:adjustRightInd w:val="0"/>
            <w:spacing w:after="240" w:line="240" w:lineRule="auto"/>
            <w:ind w:left="539" w:hanging="53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Matthew B. Miles, A. Michael Huberman, J. S. (2014). </w:t>
          </w:r>
          <w:r>
            <w:rPr>
              <w:rFonts w:hint="default" w:ascii="Times New Roman" w:hAnsi="Times New Roman" w:cs="Times New Roman"/>
              <w:i/>
              <w:iCs/>
              <w:color w:val="auto"/>
              <w:sz w:val="24"/>
              <w:szCs w:val="24"/>
            </w:rPr>
            <w:t>Qualitative Data Analysis : A Methods Sourcebook</w:t>
          </w:r>
          <w:r>
            <w:rPr>
              <w:rFonts w:hint="default" w:ascii="Times New Roman" w:hAnsi="Times New Roman" w:cs="Times New Roman"/>
              <w:color w:val="auto"/>
              <w:sz w:val="24"/>
              <w:szCs w:val="24"/>
            </w:rPr>
            <w:t>. SAGE Publications.</w:t>
          </w:r>
        </w:p>
        <w:p w14:paraId="0A7FA4F9">
          <w:pPr>
            <w:keepNext w:val="0"/>
            <w:keepLines w:val="0"/>
            <w:widowControl w:val="0"/>
            <w:suppressLineNumbers w:val="0"/>
            <w:autoSpaceDE w:val="0"/>
            <w:autoSpaceDN w:val="0"/>
            <w:adjustRightInd w:val="0"/>
            <w:spacing w:before="0" w:beforeAutospacing="0" w:after="160" w:afterAutospacing="0" w:line="240" w:lineRule="auto"/>
            <w:ind w:left="480" w:right="0" w:hanging="480"/>
            <w:jc w:val="both"/>
            <w:rPr>
              <w:rFonts w:hint="default" w:ascii="Times New Roman" w:hAnsi="Times New Roman" w:cs="Times New Roman"/>
              <w:color w:val="auto"/>
              <w:sz w:val="24"/>
              <w:szCs w:val="24"/>
            </w:rPr>
          </w:pPr>
          <w:r>
            <w:rPr>
              <w:rFonts w:hint="default" w:ascii="Times New Roman" w:hAnsi="Times New Roman" w:eastAsia="Calibri" w:cs="Times New Roman"/>
              <w:kern w:val="0"/>
              <w:sz w:val="24"/>
              <w:szCs w:val="24"/>
              <w:lang w:val="en-US" w:eastAsia="zh-CN" w:bidi="ar"/>
            </w:rPr>
            <w:t xml:space="preserve">Mulyawan, R. (2016). </w:t>
          </w:r>
          <w:r>
            <w:rPr>
              <w:rFonts w:hint="default" w:ascii="Times New Roman" w:hAnsi="Times New Roman" w:eastAsia="Calibri" w:cs="Times New Roman"/>
              <w:i/>
              <w:iCs/>
              <w:kern w:val="0"/>
              <w:sz w:val="24"/>
              <w:szCs w:val="24"/>
              <w:lang w:val="en-US" w:eastAsia="zh-CN" w:bidi="ar"/>
            </w:rPr>
            <w:t>Birokrasi dan Pelayanan Publik</w:t>
          </w:r>
          <w:r>
            <w:rPr>
              <w:rFonts w:hint="default" w:ascii="Times New Roman" w:hAnsi="Times New Roman" w:eastAsia="Calibri" w:cs="Times New Roman"/>
              <w:kern w:val="0"/>
              <w:sz w:val="24"/>
              <w:szCs w:val="24"/>
              <w:lang w:val="en-US" w:eastAsia="zh-CN" w:bidi="ar"/>
            </w:rPr>
            <w:t xml:space="preserve"> (W. Gunawan (ed.); 1st ed.). UNPAD Press. https://pustaka.unpad.ac.id/wp-content/uploads/2016/10/01-buku-OK_opt.pdf</w:t>
          </w:r>
        </w:p>
        <w:p w14:paraId="40F95096">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Meutia, I. F. (2017). Analisis Kebijakan Publik. In </w:t>
          </w:r>
          <w:r>
            <w:rPr>
              <w:rFonts w:hint="default" w:ascii="Times New Roman" w:hAnsi="Times New Roman" w:cs="Times New Roman"/>
              <w:i/>
              <w:iCs/>
              <w:color w:val="auto"/>
              <w:kern w:val="0"/>
              <w:sz w:val="24"/>
              <w:szCs w:val="24"/>
            </w:rPr>
            <w:t>Analisis Kebijakan Publik</w:t>
          </w:r>
          <w:r>
            <w:rPr>
              <w:rFonts w:hint="default" w:ascii="Times New Roman" w:hAnsi="Times New Roman" w:cs="Times New Roman"/>
              <w:color w:val="auto"/>
              <w:kern w:val="0"/>
              <w:sz w:val="24"/>
              <w:szCs w:val="24"/>
            </w:rPr>
            <w:t>. Anugrah Utama Raharja.</w:t>
          </w:r>
        </w:p>
        <w:p w14:paraId="5DFF87A3">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Moleong, L. J. (2021). </w:t>
          </w:r>
          <w:r>
            <w:rPr>
              <w:rFonts w:hint="default" w:ascii="Times New Roman" w:hAnsi="Times New Roman" w:cs="Times New Roman"/>
              <w:i/>
              <w:iCs/>
              <w:color w:val="auto"/>
              <w:kern w:val="0"/>
              <w:sz w:val="24"/>
              <w:szCs w:val="24"/>
            </w:rPr>
            <w:t>Metodologi Penelitian Kualitatif</w:t>
          </w:r>
          <w:r>
            <w:rPr>
              <w:rFonts w:hint="default" w:ascii="Times New Roman" w:hAnsi="Times New Roman" w:cs="Times New Roman"/>
              <w:color w:val="auto"/>
              <w:kern w:val="0"/>
              <w:sz w:val="24"/>
              <w:szCs w:val="24"/>
            </w:rPr>
            <w:t>. PT. Remaja Rosdakarya.</w:t>
          </w:r>
        </w:p>
        <w:p w14:paraId="6B1728B8">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Muh. Firyal Akbar, &amp; Mohi, W. K. (2018). </w:t>
          </w:r>
          <w:r>
            <w:rPr>
              <w:rFonts w:hint="default" w:ascii="Times New Roman" w:hAnsi="Times New Roman" w:cs="Times New Roman"/>
              <w:i/>
              <w:iCs/>
              <w:color w:val="auto"/>
              <w:kern w:val="0"/>
              <w:sz w:val="24"/>
              <w:szCs w:val="24"/>
            </w:rPr>
            <w:t xml:space="preserve">Studi Evaluasi Kebijakan (Evaluasi </w:t>
          </w:r>
          <w:r>
            <w:rPr>
              <w:rFonts w:hint="default" w:ascii="Times New Roman" w:hAnsi="Times New Roman" w:cs="Times New Roman"/>
              <w:i/>
              <w:iCs/>
              <w:color w:val="auto"/>
              <w:kern w:val="0"/>
              <w:sz w:val="24"/>
              <w:szCs w:val="24"/>
              <w:lang w:val="en-US"/>
            </w:rPr>
            <w:t>Ke</w:t>
          </w:r>
          <w:r>
            <w:rPr>
              <w:rFonts w:hint="default" w:ascii="Times New Roman" w:hAnsi="Times New Roman" w:cs="Times New Roman"/>
              <w:i/>
              <w:iCs/>
              <w:color w:val="auto"/>
              <w:kern w:val="0"/>
              <w:sz w:val="24"/>
              <w:szCs w:val="24"/>
            </w:rPr>
            <w:t>bijakan Di Indonesia)</w:t>
          </w:r>
          <w:r>
            <w:rPr>
              <w:rFonts w:hint="default" w:ascii="Times New Roman" w:hAnsi="Times New Roman" w:cs="Times New Roman"/>
              <w:color w:val="auto"/>
              <w:kern w:val="0"/>
              <w:sz w:val="24"/>
              <w:szCs w:val="24"/>
            </w:rPr>
            <w:t xml:space="preserve"> (Issue March).</w:t>
          </w:r>
        </w:p>
        <w:p w14:paraId="07982664">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Mustari, N. (2015). </w:t>
          </w:r>
          <w:r>
            <w:rPr>
              <w:rFonts w:hint="default" w:ascii="Times New Roman" w:hAnsi="Times New Roman" w:cs="Times New Roman"/>
              <w:i/>
              <w:iCs/>
              <w:color w:val="auto"/>
              <w:kern w:val="0"/>
              <w:sz w:val="24"/>
              <w:szCs w:val="24"/>
            </w:rPr>
            <w:t>Pemahaman Kebijakan Publik (Formulasi,Implementasi dan Evaluasi Kebijakan Publik)</w:t>
          </w:r>
          <w:r>
            <w:rPr>
              <w:rFonts w:hint="default" w:ascii="Times New Roman" w:hAnsi="Times New Roman" w:cs="Times New Roman"/>
              <w:color w:val="auto"/>
              <w:kern w:val="0"/>
              <w:sz w:val="24"/>
              <w:szCs w:val="24"/>
            </w:rPr>
            <w:t>. PT Leutika Nouvalitera.</w:t>
          </w:r>
        </w:p>
        <w:p w14:paraId="58B9ACC5">
          <w:pPr>
            <w:keepNext w:val="0"/>
            <w:keepLines w:val="0"/>
            <w:pageBreakBefore w:val="0"/>
            <w:widowControl w:val="0"/>
            <w:kinsoku/>
            <w:wordWrap/>
            <w:overflowPunct/>
            <w:topLinePunct w:val="0"/>
            <w:autoSpaceDE w:val="0"/>
            <w:autoSpaceDN w:val="0"/>
            <w:bidi w:val="0"/>
            <w:adjustRightInd w:val="0"/>
            <w:snapToGrid/>
            <w:spacing w:after="240" w:line="240" w:lineRule="auto"/>
            <w:ind w:left="539" w:hanging="539"/>
            <w:jc w:val="both"/>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Mutiarin, D., Suranto, Darumurti, A., &amp; Tamronglak, A. (2017). </w:t>
          </w:r>
          <w:r>
            <w:rPr>
              <w:rFonts w:hint="default" w:ascii="Times New Roman" w:hAnsi="Times New Roman" w:cs="Times New Roman"/>
              <w:i/>
              <w:iCs/>
              <w:color w:val="auto"/>
              <w:kern w:val="0"/>
              <w:sz w:val="24"/>
              <w:szCs w:val="24"/>
            </w:rPr>
            <w:t>PUBLIC POLICY IN THEORY AND PRACTICE</w:t>
          </w:r>
          <w:r>
            <w:rPr>
              <w:rFonts w:hint="default" w:ascii="Times New Roman" w:hAnsi="Times New Roman" w:cs="Times New Roman"/>
              <w:color w:val="auto"/>
              <w:kern w:val="0"/>
              <w:sz w:val="24"/>
              <w:szCs w:val="24"/>
            </w:rPr>
            <w:t>. JKSG UMY IP UMY and MIP UMY.</w:t>
          </w:r>
        </w:p>
        <w:p w14:paraId="2BAF0F7D">
          <w:pPr>
            <w:keepNext w:val="0"/>
            <w:keepLines w:val="0"/>
            <w:pageBreakBefore w:val="0"/>
            <w:widowControl w:val="0"/>
            <w:kinsoku/>
            <w:wordWrap/>
            <w:overflowPunct/>
            <w:topLinePunct w:val="0"/>
            <w:autoSpaceDE w:val="0"/>
            <w:autoSpaceDN w:val="0"/>
            <w:bidi w:val="0"/>
            <w:adjustRightInd w:val="0"/>
            <w:snapToGrid/>
            <w:spacing w:after="240" w:line="240" w:lineRule="auto"/>
            <w:ind w:left="539" w:hanging="539"/>
            <w:jc w:val="both"/>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N.Dunn, W. (2018). </w:t>
          </w:r>
          <w:r>
            <w:rPr>
              <w:rFonts w:hint="default" w:ascii="Times New Roman" w:hAnsi="Times New Roman" w:cs="Times New Roman"/>
              <w:i/>
              <w:iCs/>
              <w:color w:val="auto"/>
              <w:kern w:val="0"/>
              <w:sz w:val="24"/>
              <w:szCs w:val="24"/>
            </w:rPr>
            <w:t>Public Policy Analysis : An Integrated Approach</w:t>
          </w:r>
          <w:r>
            <w:rPr>
              <w:rFonts w:hint="default" w:ascii="Times New Roman" w:hAnsi="Times New Roman" w:cs="Times New Roman"/>
              <w:color w:val="auto"/>
              <w:kern w:val="0"/>
              <w:sz w:val="24"/>
              <w:szCs w:val="24"/>
            </w:rPr>
            <w:t xml:space="preserve"> (6th ed.). Routledge.</w:t>
          </w:r>
        </w:p>
        <w:p w14:paraId="37748610">
          <w:pPr>
            <w:keepNext w:val="0"/>
            <w:keepLines w:val="0"/>
            <w:pageBreakBefore w:val="0"/>
            <w:widowControl w:val="0"/>
            <w:kinsoku/>
            <w:wordWrap/>
            <w:overflowPunct/>
            <w:topLinePunct w:val="0"/>
            <w:autoSpaceDE w:val="0"/>
            <w:autoSpaceDN w:val="0"/>
            <w:bidi w:val="0"/>
            <w:adjustRightInd w:val="0"/>
            <w:snapToGrid/>
            <w:spacing w:after="240" w:line="240" w:lineRule="auto"/>
            <w:ind w:left="539" w:hanging="539"/>
            <w:jc w:val="both"/>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Nasution, A. fattah. (2023). </w:t>
          </w:r>
          <w:r>
            <w:rPr>
              <w:rFonts w:hint="default" w:ascii="Times New Roman" w:hAnsi="Times New Roman" w:cs="Times New Roman"/>
              <w:i/>
              <w:iCs/>
              <w:color w:val="auto"/>
              <w:kern w:val="0"/>
              <w:sz w:val="24"/>
              <w:szCs w:val="24"/>
            </w:rPr>
            <w:t>Metode Penelitian Kualitatif</w:t>
          </w:r>
          <w:r>
            <w:rPr>
              <w:rFonts w:hint="default" w:ascii="Times New Roman" w:hAnsi="Times New Roman" w:cs="Times New Roman"/>
              <w:color w:val="auto"/>
              <w:kern w:val="0"/>
              <w:sz w:val="24"/>
              <w:szCs w:val="24"/>
            </w:rPr>
            <w:t xml:space="preserve"> (Meyniar Al). Harfa Creative.</w:t>
          </w:r>
        </w:p>
        <w:p w14:paraId="00C7C5F6">
          <w:pPr>
            <w:keepNext w:val="0"/>
            <w:keepLines w:val="0"/>
            <w:pageBreakBefore w:val="0"/>
            <w:widowControl w:val="0"/>
            <w:kinsoku/>
            <w:wordWrap/>
            <w:overflowPunct/>
            <w:topLinePunct w:val="0"/>
            <w:autoSpaceDE w:val="0"/>
            <w:autoSpaceDN w:val="0"/>
            <w:bidi w:val="0"/>
            <w:adjustRightInd w:val="0"/>
            <w:snapToGrid/>
            <w:spacing w:after="240" w:line="240" w:lineRule="auto"/>
            <w:ind w:left="539" w:hanging="539"/>
            <w:jc w:val="both"/>
            <w:textAlignment w:val="auto"/>
            <w:rPr>
              <w:color w:val="auto"/>
            </w:rPr>
          </w:pPr>
          <w:r>
            <w:rPr>
              <w:rFonts w:hint="default" w:ascii="Times New Roman" w:hAnsi="Times New Roman" w:cs="Times New Roman"/>
              <w:color w:val="auto"/>
              <w:kern w:val="0"/>
              <w:sz w:val="24"/>
              <w:szCs w:val="24"/>
            </w:rPr>
            <w:t xml:space="preserve">Nugroho, D. M. dan A. (2019). </w:t>
          </w:r>
          <w:r>
            <w:rPr>
              <w:rFonts w:hint="default" w:ascii="Times New Roman" w:hAnsi="Times New Roman" w:cs="Times New Roman"/>
              <w:i/>
              <w:iCs/>
              <w:color w:val="auto"/>
              <w:kern w:val="0"/>
              <w:sz w:val="24"/>
              <w:szCs w:val="24"/>
            </w:rPr>
            <w:t>Kebijakan Publik : Cara Mudah Memahami Kebijakan Publik</w:t>
          </w:r>
          <w:r>
            <w:rPr>
              <w:rFonts w:hint="default" w:ascii="Times New Roman" w:hAnsi="Times New Roman" w:cs="Times New Roman"/>
              <w:color w:val="auto"/>
              <w:kern w:val="0"/>
              <w:sz w:val="24"/>
              <w:szCs w:val="24"/>
            </w:rPr>
            <w:t xml:space="preserve"> (Issue September). CV. AA Rizky.</w:t>
          </w:r>
        </w:p>
        <w:p w14:paraId="48655D11">
          <w:pPr>
            <w:pStyle w:val="23"/>
            <w:keepNext w:val="0"/>
            <w:keepLines w:val="0"/>
            <w:widowControl/>
            <w:suppressLineNumbers w:val="0"/>
            <w:spacing w:line="240" w:lineRule="auto"/>
            <w:ind w:left="480" w:hanging="480"/>
            <w:rPr>
              <w:color w:val="auto"/>
            </w:rPr>
          </w:pPr>
          <w:r>
            <w:rPr>
              <w:color w:val="auto"/>
            </w:rPr>
            <w:t xml:space="preserve">Pramono, J. (2020). Implementasi dan Evaluasi Kebijakan Publik. In </w:t>
          </w:r>
          <w:r>
            <w:rPr>
              <w:i/>
              <w:iCs/>
              <w:color w:val="auto"/>
            </w:rPr>
            <w:t>Kebijakan Publik</w:t>
          </w:r>
          <w:r>
            <w:rPr>
              <w:color w:val="auto"/>
            </w:rPr>
            <w:t>. https://sirisma.unisri.ac.id/berkas/41naskah-A5_Joko-Pramono_Implementasi-....pdf</w:t>
          </w:r>
        </w:p>
        <w:p w14:paraId="71E3D187">
          <w:pPr>
            <w:pStyle w:val="23"/>
            <w:keepNext w:val="0"/>
            <w:keepLines w:val="0"/>
            <w:widowControl/>
            <w:suppressLineNumbers w:val="0"/>
            <w:spacing w:line="240" w:lineRule="auto"/>
            <w:ind w:left="480" w:hanging="480"/>
            <w:rPr>
              <w:color w:val="auto"/>
            </w:rPr>
          </w:pPr>
          <w:r>
            <w:t xml:space="preserve">Supriadi, M. N., Tinggi, S., Arastamar, T., Manullang, S. O., &amp; Krisnadwipayana, U. (2021). </w:t>
          </w:r>
          <w:r>
            <w:rPr>
              <w:i/>
              <w:iCs/>
            </w:rPr>
            <w:t>Pelayanan Publik</w:t>
          </w:r>
          <w:r>
            <w:t xml:space="preserve"> (Issue October 2020).</w:t>
          </w:r>
        </w:p>
        <w:p w14:paraId="6580960C">
          <w:pPr>
            <w:widowControl w:val="0"/>
            <w:autoSpaceDE w:val="0"/>
            <w:autoSpaceDN w:val="0"/>
            <w:adjustRightInd w:val="0"/>
            <w:spacing w:after="240" w:line="240" w:lineRule="auto"/>
            <w:ind w:left="539" w:hanging="539"/>
            <w:jc w:val="both"/>
            <w:rPr>
              <w:rFonts w:hint="default" w:ascii="Times New Roman" w:hAnsi="Times New Roman" w:cs="Times New Roman"/>
              <w:b/>
              <w:bCs/>
              <w:color w:val="auto"/>
              <w:sz w:val="24"/>
              <w:szCs w:val="24"/>
            </w:rPr>
          </w:pPr>
          <w:r>
            <w:rPr>
              <w:rFonts w:hint="default" w:ascii="Times New Roman" w:hAnsi="Times New Roman" w:cs="Times New Roman"/>
              <w:color w:val="auto"/>
              <w:kern w:val="0"/>
              <w:sz w:val="24"/>
              <w:szCs w:val="24"/>
            </w:rPr>
            <w:t xml:space="preserve">Taufiqurakhman. (2014). Kebijakan Publik. In </w:t>
          </w:r>
          <w:r>
            <w:rPr>
              <w:rFonts w:hint="default" w:ascii="Times New Roman" w:hAnsi="Times New Roman" w:cs="Times New Roman"/>
              <w:i/>
              <w:iCs/>
              <w:color w:val="auto"/>
              <w:kern w:val="0"/>
              <w:sz w:val="24"/>
              <w:szCs w:val="24"/>
            </w:rPr>
            <w:t>Kebijakan Publik</w:t>
          </w:r>
          <w:r>
            <w:rPr>
              <w:rFonts w:hint="default" w:ascii="Times New Roman" w:hAnsi="Times New Roman" w:cs="Times New Roman"/>
              <w:color w:val="auto"/>
              <w:kern w:val="0"/>
              <w:sz w:val="24"/>
              <w:szCs w:val="24"/>
            </w:rPr>
            <w:t xml:space="preserve"> (Issue 1993). Fakultas Ilmu Sosial dan Ilmu Politik Universitas Moestopo Beragama (Pers).</w:t>
          </w:r>
        </w:p>
        <w:p w14:paraId="7DDCF08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240" w:afterAutospacing="0" w:line="240" w:lineRule="auto"/>
            <w:ind w:left="482" w:right="0" w:hanging="482"/>
            <w:jc w:val="left"/>
            <w:textAlignment w:val="auto"/>
            <w:rPr>
              <w:rFonts w:hint="default" w:ascii="Times New Roman" w:hAnsi="Times New Roman" w:cs="Times New Roman"/>
              <w:b/>
              <w:bCs/>
              <w:color w:val="auto"/>
              <w:sz w:val="24"/>
              <w:szCs w:val="24"/>
            </w:rPr>
          </w:pPr>
          <w:r>
            <w:rPr>
              <w:rFonts w:hint="default" w:ascii="Times New Roman" w:hAnsi="Times New Roman" w:eastAsia="DengXian" w:cs="Times New Roman"/>
              <w:color w:val="auto"/>
              <w:kern w:val="0"/>
              <w:sz w:val="24"/>
              <w:szCs w:val="24"/>
              <w:lang w:val="en-US" w:eastAsia="zh-CN" w:bidi="ar"/>
            </w:rPr>
            <w:t xml:space="preserve">Widiastuti, T., Muryani, Sukmaningrum, P. S., Fauzia, I. Y., Rusgianto, S., &amp; Fadlul, A. (2021). </w:t>
          </w:r>
          <w:r>
            <w:rPr>
              <w:rFonts w:hint="default" w:ascii="Times New Roman" w:hAnsi="Times New Roman" w:eastAsia="DengXian" w:cs="Times New Roman"/>
              <w:i/>
              <w:iCs/>
              <w:color w:val="auto"/>
              <w:kern w:val="0"/>
              <w:sz w:val="24"/>
              <w:szCs w:val="24"/>
              <w:lang w:val="en-US" w:eastAsia="zh-CN" w:bidi="ar"/>
            </w:rPr>
            <w:t>Model Jaring Pengaman Sosial Dalam Perspektif Ekonomi Islam</w:t>
          </w:r>
          <w:r>
            <w:rPr>
              <w:rFonts w:hint="default" w:ascii="Times New Roman" w:hAnsi="Times New Roman" w:eastAsia="DengXian" w:cs="Times New Roman"/>
              <w:color w:val="auto"/>
              <w:kern w:val="0"/>
              <w:sz w:val="24"/>
              <w:szCs w:val="24"/>
              <w:lang w:val="en-US" w:eastAsia="zh-CN" w:bidi="ar"/>
            </w:rPr>
            <w:t>. Airlangga University Press. https://repository.unair.ac.id/118822/2/501-Karil_PujiSucia_Model-Jaring-Pengaman.pdf</w:t>
          </w:r>
          <w:r>
            <w:rPr>
              <w:rFonts w:hint="default" w:ascii="Times New Roman" w:hAnsi="Times New Roman" w:cs="Times New Roman"/>
              <w:b/>
              <w:bCs/>
              <w:color w:val="auto"/>
              <w:sz w:val="24"/>
              <w:szCs w:val="24"/>
            </w:rPr>
            <w:fldChar w:fldCharType="begin" w:fldLock="1"/>
          </w:r>
          <w:r>
            <w:rPr>
              <w:rFonts w:hint="default" w:ascii="Times New Roman" w:hAnsi="Times New Roman" w:cs="Times New Roman"/>
              <w:b/>
              <w:bCs/>
              <w:color w:val="auto"/>
              <w:sz w:val="24"/>
              <w:szCs w:val="24"/>
            </w:rPr>
            <w:instrText xml:space="preserve">ADDIN Mendeley Bibliography CSL_BIBLIOGRAPHY </w:instrText>
          </w:r>
          <w:r>
            <w:rPr>
              <w:rFonts w:hint="default" w:ascii="Times New Roman" w:hAnsi="Times New Roman" w:cs="Times New Roman"/>
              <w:b/>
              <w:bCs/>
              <w:color w:val="auto"/>
              <w:sz w:val="24"/>
              <w:szCs w:val="24"/>
            </w:rPr>
            <w:fldChar w:fldCharType="separate"/>
          </w:r>
        </w:p>
        <w:p w14:paraId="07BE1CCA">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Undang-Undang Nomor 32 Tahun 2004 Tentang Pemerintahan Daerah, (2004).</w:t>
          </w:r>
        </w:p>
        <w:p w14:paraId="01C03B64">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Undang-Undang Nomor 14 Tahun 2008 Tentang Keterbukaan Informasi Publik, (2008).</w:t>
          </w:r>
        </w:p>
        <w:p w14:paraId="11C0AE97">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lang w:val="en-US"/>
            </w:rPr>
          </w:pPr>
          <w:r>
            <w:rPr>
              <w:rFonts w:hint="default" w:ascii="Times New Roman" w:hAnsi="Times New Roman" w:cs="Times New Roman"/>
              <w:color w:val="auto"/>
              <w:kern w:val="0"/>
              <w:sz w:val="24"/>
              <w:szCs w:val="24"/>
              <w:lang w:val="en-US"/>
            </w:rPr>
            <w:t>Undang-Undang Nomor 25 Tahun 2009 Tentang Pelayanan Publik, (2009)</w:t>
          </w:r>
        </w:p>
        <w:p w14:paraId="2FEF08E8">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Undang-undang Nomor 24 Tahun 2011 </w:t>
          </w:r>
          <w:r>
            <w:rPr>
              <w:rFonts w:hint="default" w:ascii="Times New Roman" w:hAnsi="Times New Roman" w:cs="Times New Roman"/>
              <w:color w:val="auto"/>
              <w:kern w:val="0"/>
              <w:sz w:val="24"/>
              <w:szCs w:val="24"/>
              <w:lang w:val="en-US"/>
            </w:rPr>
            <w:t>T</w:t>
          </w:r>
          <w:r>
            <w:rPr>
              <w:rFonts w:hint="default" w:ascii="Times New Roman" w:hAnsi="Times New Roman" w:cs="Times New Roman"/>
              <w:color w:val="auto"/>
              <w:kern w:val="0"/>
              <w:sz w:val="24"/>
              <w:szCs w:val="24"/>
            </w:rPr>
            <w:t>entang Badan Penyelenggara Jaminan Sosial (BPJS), (2011).</w:t>
          </w:r>
        </w:p>
        <w:p w14:paraId="47EF9233">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Undang-undang Nomor 17 Tahun 2023 Tentang Kesehatan, (2023).</w:t>
          </w:r>
        </w:p>
        <w:p w14:paraId="2CBA85E6">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Undang-Undang Republik Indonesia Nomor 36 Tahun 2014 Tentang Tenaga Kesehatan. (2014). </w:t>
          </w:r>
          <w:r>
            <w:rPr>
              <w:rFonts w:hint="default" w:ascii="Times New Roman" w:hAnsi="Times New Roman" w:cs="Times New Roman"/>
              <w:i/>
              <w:iCs/>
              <w:color w:val="auto"/>
              <w:kern w:val="0"/>
              <w:sz w:val="24"/>
              <w:szCs w:val="24"/>
            </w:rPr>
            <w:t>Menteri Hukum Dan Hak Asasi Manusia Republik Indonesia</w:t>
          </w:r>
          <w:r>
            <w:rPr>
              <w:rFonts w:hint="default" w:ascii="Times New Roman" w:hAnsi="Times New Roman" w:cs="Times New Roman"/>
              <w:color w:val="auto"/>
              <w:kern w:val="0"/>
              <w:sz w:val="24"/>
              <w:szCs w:val="24"/>
            </w:rPr>
            <w:t>.</w:t>
          </w:r>
        </w:p>
        <w:p w14:paraId="45B1D9DC">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Undang-undang Republik Indonesia Nomor 40 Tahun 2004 Tentang Sistem Jaminan Sosial Nasional (SJSN), (2004). https://peraturan.bpk.go.id/Home/Details/40787</w:t>
          </w:r>
        </w:p>
        <w:p w14:paraId="1A4C340D">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Peraturan Pemerintah Republik Indonesia Nomor 101 Tahun 2012 Tentang Penerima Bantuan Iuran Jaminan Kesehatan.</w:t>
          </w:r>
        </w:p>
        <w:p w14:paraId="5E5AD623">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b/>
              <w:bCs/>
              <w:color w:val="auto"/>
              <w:sz w:val="24"/>
              <w:szCs w:val="24"/>
            </w:rPr>
            <w:fldChar w:fldCharType="end"/>
          </w:r>
          <w:r>
            <w:rPr>
              <w:rFonts w:hint="default" w:ascii="Times New Roman" w:hAnsi="Times New Roman" w:cs="Times New Roman"/>
              <w:color w:val="auto"/>
              <w:kern w:val="0"/>
              <w:sz w:val="24"/>
              <w:szCs w:val="24"/>
            </w:rPr>
            <w:t xml:space="preserve">Peraturan Presiden Nomor 82 Tahun 2018 Tentang jaminan Kesehatan, (2018). </w:t>
          </w:r>
        </w:p>
        <w:p w14:paraId="136BE15A">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lang w:val="en-US"/>
            </w:rPr>
          </w:pPr>
          <w:r>
            <w:rPr>
              <w:rFonts w:hint="default" w:ascii="Times New Roman" w:hAnsi="Times New Roman" w:eastAsia="Calibri"/>
              <w:sz w:val="24"/>
              <w:szCs w:val="24"/>
              <w:lang w:val="en-US" w:eastAsia="zh-CN"/>
            </w:rPr>
            <w:t>Instruksi Presiden Republik Indonesia Nomor 1 tahun 2022 tentang Optimalisasi Pelaksanaan Program Jaminan Kesehatan Nasional, (2022)</w:t>
          </w:r>
        </w:p>
        <w:p w14:paraId="7546EC1B">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Peraturan Menteri Negara Pendayagunaan Aparatur Negara Nomor : PER/04/M.PAN/4/2007 tentang Pedoman, Implementasi, Evaluasi Kinerja, dan Revisi Kebijakan Publik di Lingkungan Lembaga Pemerintah Pusat dan Daerah,</w:t>
          </w:r>
          <w:r>
            <w:rPr>
              <w:rFonts w:hint="default" w:ascii="Times New Roman" w:hAnsi="Times New Roman" w:cs="Times New Roman"/>
              <w:color w:val="auto"/>
              <w:kern w:val="0"/>
              <w:sz w:val="24"/>
              <w:szCs w:val="24"/>
              <w:lang w:val="en-US"/>
            </w:rPr>
            <w:t xml:space="preserve"> </w:t>
          </w:r>
          <w:r>
            <w:rPr>
              <w:rFonts w:hint="default" w:ascii="Times New Roman" w:hAnsi="Times New Roman" w:cs="Times New Roman"/>
              <w:color w:val="auto"/>
              <w:kern w:val="0"/>
              <w:sz w:val="24"/>
              <w:szCs w:val="24"/>
            </w:rPr>
            <w:t xml:space="preserve">(2007). </w:t>
          </w:r>
        </w:p>
        <w:p w14:paraId="2A1A09A5">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Peraturan Menteri Kesehatan Republik Indonesia Nomor </w:t>
          </w:r>
          <w:r>
            <w:rPr>
              <w:rFonts w:hint="default" w:ascii="Times New Roman" w:hAnsi="Times New Roman" w:cs="Times New Roman"/>
              <w:color w:val="auto"/>
              <w:kern w:val="0"/>
              <w:sz w:val="24"/>
              <w:szCs w:val="24"/>
              <w:lang w:val="en-US"/>
            </w:rPr>
            <w:t>71</w:t>
          </w:r>
          <w:r>
            <w:rPr>
              <w:rFonts w:hint="default" w:ascii="Times New Roman" w:hAnsi="Times New Roman" w:cs="Times New Roman"/>
              <w:color w:val="auto"/>
              <w:kern w:val="0"/>
              <w:sz w:val="24"/>
              <w:szCs w:val="24"/>
            </w:rPr>
            <w:t xml:space="preserve"> Tahun 20</w:t>
          </w:r>
          <w:r>
            <w:rPr>
              <w:rFonts w:hint="default" w:ascii="Times New Roman" w:hAnsi="Times New Roman" w:cs="Times New Roman"/>
              <w:color w:val="auto"/>
              <w:kern w:val="0"/>
              <w:sz w:val="24"/>
              <w:szCs w:val="24"/>
              <w:lang w:val="en-US"/>
            </w:rPr>
            <w:t>13</w:t>
          </w:r>
          <w:r>
            <w:rPr>
              <w:rFonts w:hint="default" w:ascii="Times New Roman" w:hAnsi="Times New Roman" w:cs="Times New Roman"/>
              <w:color w:val="auto"/>
              <w:kern w:val="0"/>
              <w:sz w:val="24"/>
              <w:szCs w:val="24"/>
            </w:rPr>
            <w:t xml:space="preserve"> Tentang </w:t>
          </w:r>
          <w:r>
            <w:rPr>
              <w:rFonts w:hint="default" w:ascii="Times New Roman" w:hAnsi="Times New Roman" w:cs="Times New Roman"/>
              <w:color w:val="auto"/>
              <w:kern w:val="0"/>
              <w:sz w:val="24"/>
              <w:szCs w:val="24"/>
              <w:lang w:val="en-US"/>
            </w:rPr>
            <w:t>Pelayanan Kesehatan Pada Jaminan Kesehatan Nasional, (2013)</w:t>
          </w:r>
          <w:r>
            <w:rPr>
              <w:rFonts w:hint="default" w:ascii="Times New Roman" w:hAnsi="Times New Roman" w:cs="Times New Roman"/>
              <w:color w:val="auto"/>
              <w:kern w:val="0"/>
              <w:sz w:val="24"/>
              <w:szCs w:val="24"/>
            </w:rPr>
            <w:t>.</w:t>
          </w:r>
        </w:p>
        <w:p w14:paraId="4F943257">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Peraturan Menteri Kesehatan Republik Indonesia Nomor 43 Tahun 2019 Tentang Pusat Kesehatan Masyarakat</w:t>
          </w:r>
          <w:r>
            <w:rPr>
              <w:rFonts w:hint="default" w:ascii="Times New Roman" w:hAnsi="Times New Roman" w:cs="Times New Roman"/>
              <w:color w:val="auto"/>
              <w:kern w:val="0"/>
              <w:sz w:val="24"/>
              <w:szCs w:val="24"/>
              <w:lang w:val="en-US"/>
            </w:rPr>
            <w:t>, (2019)</w:t>
          </w:r>
          <w:r>
            <w:rPr>
              <w:rFonts w:hint="default" w:ascii="Times New Roman" w:hAnsi="Times New Roman" w:cs="Times New Roman"/>
              <w:color w:val="auto"/>
              <w:kern w:val="0"/>
              <w:sz w:val="24"/>
              <w:szCs w:val="24"/>
            </w:rPr>
            <w:t>.</w:t>
          </w:r>
        </w:p>
        <w:p w14:paraId="634918C3">
          <w:pPr>
            <w:widowControl w:val="0"/>
            <w:autoSpaceDE w:val="0"/>
            <w:autoSpaceDN w:val="0"/>
            <w:adjustRightInd w:val="0"/>
            <w:spacing w:after="240" w:line="240" w:lineRule="auto"/>
            <w:ind w:left="539" w:hanging="539"/>
            <w:jc w:val="both"/>
            <w:rPr>
              <w:rFonts w:hint="default" w:ascii="Times New Roman" w:hAnsi="Times New Roman"/>
              <w:sz w:val="24"/>
              <w:szCs w:val="24"/>
              <w:shd w:val="clear" w:color="FFFFFF" w:fill="FFFFFF"/>
              <w:lang w:val="en-US"/>
            </w:rPr>
          </w:pPr>
          <w:r>
            <w:rPr>
              <w:rFonts w:ascii="Times New Roman" w:hAnsi="Times New Roman"/>
              <w:sz w:val="24"/>
              <w:szCs w:val="24"/>
              <w:shd w:val="clear" w:color="FFFFFF" w:fill="FFFFFF"/>
            </w:rPr>
            <w:t>Peraturan Bupati Gresik Nomor 71 Tahun 2021 tentang Kedudukan, Susunan Organisasi, Tugas, Fungsi dan Tata Kerja Dinas Kesehatan Kabupaten Gresik, rincian tugas dan fungsi Dinas Kesehatan Kabupaten Gresik</w:t>
          </w:r>
          <w:r>
            <w:rPr>
              <w:rFonts w:hint="default" w:ascii="Times New Roman" w:hAnsi="Times New Roman"/>
              <w:sz w:val="24"/>
              <w:szCs w:val="24"/>
              <w:shd w:val="clear" w:color="FFFFFF" w:fill="FFFFFF"/>
              <w:lang w:val="en-US"/>
            </w:rPr>
            <w:t>. (2021).</w:t>
          </w:r>
        </w:p>
        <w:p w14:paraId="3F3EAB5A">
          <w:pPr>
            <w:widowControl w:val="0"/>
            <w:autoSpaceDE w:val="0"/>
            <w:autoSpaceDN w:val="0"/>
            <w:adjustRightInd w:val="0"/>
            <w:spacing w:after="240" w:line="240" w:lineRule="auto"/>
            <w:ind w:left="539" w:hanging="539"/>
            <w:jc w:val="both"/>
            <w:rPr>
              <w:rFonts w:hint="default" w:ascii="Times New Roman" w:hAnsi="Times New Roman"/>
              <w:sz w:val="24"/>
              <w:szCs w:val="24"/>
              <w:shd w:val="clear" w:color="FFFFFF" w:fill="FFFFFF"/>
              <w:lang w:val="en-US"/>
            </w:rPr>
          </w:pPr>
          <w:r>
            <w:rPr>
              <w:rFonts w:hint="default" w:ascii="Times New Roman" w:hAnsi="Times New Roman"/>
              <w:sz w:val="24"/>
              <w:szCs w:val="24"/>
              <w:lang w:val="en-US"/>
            </w:rPr>
            <w:t>P</w:t>
          </w:r>
          <w:r>
            <w:rPr>
              <w:rFonts w:ascii="Times New Roman" w:hAnsi="Times New Roman"/>
              <w:sz w:val="24"/>
              <w:szCs w:val="24"/>
            </w:rPr>
            <w:t xml:space="preserve">eraturan Bupati Kabupaten Gresik Nomor 41 Tahun 2021 tentang Pembentukan Rumah Sakit Umum Daerah Umar Mas’ud </w:t>
          </w:r>
          <w:r>
            <w:rPr>
              <w:rFonts w:hint="default" w:ascii="Times New Roman" w:hAnsi="Times New Roman"/>
              <w:sz w:val="24"/>
              <w:szCs w:val="24"/>
              <w:lang w:val="en-US"/>
            </w:rPr>
            <w:t>B</w:t>
          </w:r>
          <w:r>
            <w:rPr>
              <w:rFonts w:ascii="Times New Roman" w:hAnsi="Times New Roman"/>
              <w:sz w:val="24"/>
              <w:szCs w:val="24"/>
            </w:rPr>
            <w:t>awean Kabupaten Gresik</w:t>
          </w:r>
          <w:r>
            <w:rPr>
              <w:rFonts w:hint="default" w:ascii="Times New Roman" w:hAnsi="Times New Roman"/>
              <w:sz w:val="24"/>
              <w:szCs w:val="24"/>
              <w:lang w:val="en-US"/>
            </w:rPr>
            <w:t>. (2021.</w:t>
          </w:r>
        </w:p>
        <w:p w14:paraId="5D5BCD41">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Peraturan Bupati Gresik Nomor 60 Tahun 2022 Tentang Penyelenggaraan Universal Health C</w:t>
          </w:r>
          <w:r>
            <w:rPr>
              <w:rFonts w:hint="default" w:ascii="Times New Roman" w:hAnsi="Times New Roman" w:cs="Times New Roman"/>
              <w:color w:val="auto"/>
              <w:kern w:val="0"/>
              <w:sz w:val="24"/>
              <w:szCs w:val="24"/>
              <w:lang w:val="en-US"/>
            </w:rPr>
            <w:t>o</w:t>
          </w:r>
          <w:r>
            <w:rPr>
              <w:rFonts w:hint="default" w:ascii="Times New Roman" w:hAnsi="Times New Roman" w:cs="Times New Roman"/>
              <w:color w:val="auto"/>
              <w:kern w:val="0"/>
              <w:sz w:val="24"/>
              <w:szCs w:val="24"/>
            </w:rPr>
            <w:t>verage Dalam Program Jaminan Kesehatan Nasional di Kabupaten G</w:t>
          </w:r>
          <w:r>
            <w:rPr>
              <w:rFonts w:hint="default" w:ascii="Times New Roman" w:hAnsi="Times New Roman" w:cs="Times New Roman"/>
              <w:color w:val="auto"/>
              <w:kern w:val="0"/>
              <w:sz w:val="24"/>
              <w:szCs w:val="24"/>
              <w:lang w:val="en-US"/>
            </w:rPr>
            <w:t>r</w:t>
          </w:r>
          <w:r>
            <w:rPr>
              <w:rFonts w:hint="default" w:ascii="Times New Roman" w:hAnsi="Times New Roman" w:cs="Times New Roman"/>
              <w:color w:val="auto"/>
              <w:kern w:val="0"/>
              <w:sz w:val="24"/>
              <w:szCs w:val="24"/>
            </w:rPr>
            <w:t xml:space="preserve">esik, (2022). </w:t>
          </w:r>
        </w:p>
        <w:p w14:paraId="4A45B567">
          <w:pPr>
            <w:widowControl w:val="0"/>
            <w:autoSpaceDE w:val="0"/>
            <w:autoSpaceDN w:val="0"/>
            <w:adjustRightInd w:val="0"/>
            <w:spacing w:after="240" w:line="240" w:lineRule="auto"/>
            <w:ind w:left="539" w:hanging="539"/>
            <w:jc w:val="both"/>
            <w:rPr>
              <w:rFonts w:hint="default" w:ascii="Times New Roman" w:hAnsi="Times New Roman" w:cs="Times New Roman"/>
              <w:b/>
              <w:bCs/>
              <w:color w:val="auto"/>
              <w:kern w:val="0"/>
              <w:sz w:val="24"/>
              <w:szCs w:val="24"/>
            </w:rPr>
          </w:pPr>
          <w:r>
            <w:rPr>
              <w:rFonts w:hint="default" w:ascii="Times New Roman" w:hAnsi="Times New Roman" w:cs="Times New Roman"/>
              <w:color w:val="auto"/>
              <w:kern w:val="0"/>
              <w:sz w:val="24"/>
              <w:szCs w:val="24"/>
            </w:rPr>
            <w:t>Peraturan Bupati Gresik Nomor 16 Tahun 2023 Tentang Pemenuhan Kebutuhan Dokter Spesialis Pada Rumah Sakit Umum Daerah Umar Mas’ud Bawean Melalui Program Bantuan Pendidikan Dokter Spesialis Oleh Pemerintah Daerah. (2023).</w:t>
          </w:r>
        </w:p>
        <w:p w14:paraId="216855DC">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b/>
              <w:bCs/>
              <w:color w:val="auto"/>
              <w:sz w:val="24"/>
              <w:szCs w:val="24"/>
            </w:rPr>
            <w:fldChar w:fldCharType="begin" w:fldLock="1"/>
          </w:r>
          <w:r>
            <w:rPr>
              <w:rFonts w:hint="default" w:ascii="Times New Roman" w:hAnsi="Times New Roman" w:cs="Times New Roman"/>
              <w:b/>
              <w:bCs/>
              <w:color w:val="auto"/>
              <w:sz w:val="24"/>
              <w:szCs w:val="24"/>
            </w:rPr>
            <w:instrText xml:space="preserve">ADDIN Mendeley Bibliography CSL_BIBLIOGRAPHY </w:instrText>
          </w:r>
          <w:r>
            <w:rPr>
              <w:rFonts w:hint="default" w:ascii="Times New Roman" w:hAnsi="Times New Roman" w:cs="Times New Roman"/>
              <w:b/>
              <w:bCs/>
              <w:color w:val="auto"/>
              <w:sz w:val="24"/>
              <w:szCs w:val="24"/>
            </w:rPr>
            <w:fldChar w:fldCharType="separate"/>
          </w:r>
          <w:r>
            <w:rPr>
              <w:rFonts w:hint="default" w:ascii="Times New Roman" w:hAnsi="Times New Roman" w:cs="Times New Roman"/>
              <w:color w:val="auto"/>
              <w:kern w:val="0"/>
              <w:sz w:val="24"/>
              <w:szCs w:val="24"/>
            </w:rPr>
            <w:t xml:space="preserve">Ardiani, Y. M., &amp; Noegroho. (2018). Infrastructures for the development on Bawean Island, Gresik, East Java-Indonesia. </w:t>
          </w:r>
          <w:r>
            <w:rPr>
              <w:rFonts w:hint="default" w:ascii="Times New Roman" w:hAnsi="Times New Roman" w:cs="Times New Roman"/>
              <w:i/>
              <w:iCs/>
              <w:color w:val="auto"/>
              <w:kern w:val="0"/>
              <w:sz w:val="24"/>
              <w:szCs w:val="24"/>
            </w:rPr>
            <w:t>IOP Conference Series: Earth and Environmental Science</w:t>
          </w:r>
          <w:r>
            <w:rPr>
              <w:rFonts w:hint="default" w:ascii="Times New Roman" w:hAnsi="Times New Roman" w:cs="Times New Roman"/>
              <w:color w:val="auto"/>
              <w:kern w:val="0"/>
              <w:sz w:val="24"/>
              <w:szCs w:val="24"/>
            </w:rPr>
            <w:t xml:space="preserve">, </w:t>
          </w:r>
          <w:r>
            <w:rPr>
              <w:rFonts w:hint="default" w:ascii="Times New Roman" w:hAnsi="Times New Roman" w:cs="Times New Roman"/>
              <w:i/>
              <w:iCs/>
              <w:color w:val="auto"/>
              <w:kern w:val="0"/>
              <w:sz w:val="24"/>
              <w:szCs w:val="24"/>
            </w:rPr>
            <w:t>195</w:t>
          </w:r>
          <w:r>
            <w:rPr>
              <w:rFonts w:hint="default" w:ascii="Times New Roman" w:hAnsi="Times New Roman" w:cs="Times New Roman"/>
              <w:color w:val="auto"/>
              <w:kern w:val="0"/>
              <w:sz w:val="24"/>
              <w:szCs w:val="24"/>
            </w:rPr>
            <w:t>(1). https://doi.org/10.1088/1755-1315/195/1/012087</w:t>
          </w:r>
        </w:p>
        <w:p w14:paraId="46C6874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240" w:afterAutospacing="0" w:line="240" w:lineRule="auto"/>
            <w:ind w:left="482" w:right="0" w:hanging="482"/>
            <w:jc w:val="both"/>
            <w:textAlignment w:val="auto"/>
            <w:rPr>
              <w:rFonts w:hint="default" w:ascii="Times New Roman" w:hAnsi="Times New Roman" w:cs="Times New Roman"/>
              <w:color w:val="auto"/>
              <w:kern w:val="0"/>
              <w:sz w:val="24"/>
              <w:szCs w:val="24"/>
            </w:rPr>
          </w:pPr>
          <w:r>
            <w:rPr>
              <w:rFonts w:hint="default" w:ascii="Times New Roman" w:hAnsi="Times New Roman" w:eastAsia="DengXian" w:cs="Times New Roman"/>
              <w:color w:val="auto"/>
              <w:kern w:val="0"/>
              <w:sz w:val="24"/>
              <w:szCs w:val="24"/>
              <w:lang w:val="en-US" w:eastAsia="zh-CN" w:bidi="ar"/>
            </w:rPr>
            <w:t xml:space="preserve">Gigineishvili;, N., Karapetyan;, I. R. T. N., Ustyugova, Y., Houtte;, J. van, Brollo, J. J., Shi;, W., Arzoumanian;, S., Tintchev;, K., Tuuli;, M., Saliba;, F., Talishli;, F., &amp; Fernanda, M. E. S. (2023). Paving the Way to More Resilient, Inclusive, and Greener Economies in the Caucasus and Central Asia. In </w:t>
          </w:r>
          <w:r>
            <w:rPr>
              <w:rFonts w:hint="default" w:ascii="Times New Roman" w:hAnsi="Times New Roman" w:eastAsia="DengXian" w:cs="Times New Roman"/>
              <w:i/>
              <w:iCs/>
              <w:color w:val="auto"/>
              <w:kern w:val="0"/>
              <w:sz w:val="24"/>
              <w:szCs w:val="24"/>
              <w:lang w:val="en-US" w:eastAsia="zh-CN" w:bidi="ar"/>
            </w:rPr>
            <w:t>Departmental Papers</w:t>
          </w:r>
          <w:r>
            <w:rPr>
              <w:rFonts w:hint="default" w:ascii="Times New Roman" w:hAnsi="Times New Roman" w:eastAsia="DengXian" w:cs="Times New Roman"/>
              <w:color w:val="auto"/>
              <w:kern w:val="0"/>
              <w:sz w:val="24"/>
              <w:szCs w:val="24"/>
              <w:lang w:val="en-US" w:eastAsia="zh-CN" w:bidi="ar"/>
            </w:rPr>
            <w:t xml:space="preserve"> (DP/2023/004). https://doi.org/10.5089/9798400239175.087</w:t>
          </w:r>
        </w:p>
        <w:p w14:paraId="2EBB3DEE">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Kurniawan, Y. T. (2017). Faktor-faktor dan Pola Hubungannya yang Mempengaruhi Pemanfaatan Jaminan Kesehatan Nasional (JKN) oleh Keluarga Miskin. </w:t>
          </w:r>
          <w:r>
            <w:rPr>
              <w:rFonts w:hint="default" w:ascii="Times New Roman" w:hAnsi="Times New Roman" w:cs="Times New Roman"/>
              <w:i/>
              <w:iCs/>
              <w:color w:val="auto"/>
              <w:kern w:val="0"/>
              <w:sz w:val="24"/>
              <w:szCs w:val="24"/>
            </w:rPr>
            <w:t>Cakrawala Journal</w:t>
          </w:r>
          <w:r>
            <w:rPr>
              <w:rFonts w:hint="default" w:ascii="Times New Roman" w:hAnsi="Times New Roman" w:cs="Times New Roman"/>
              <w:color w:val="auto"/>
              <w:kern w:val="0"/>
              <w:sz w:val="24"/>
              <w:szCs w:val="24"/>
            </w:rPr>
            <w:t xml:space="preserve">, </w:t>
          </w:r>
          <w:r>
            <w:rPr>
              <w:rFonts w:hint="default" w:ascii="Times New Roman" w:hAnsi="Times New Roman" w:cs="Times New Roman"/>
              <w:i/>
              <w:iCs/>
              <w:color w:val="auto"/>
              <w:kern w:val="0"/>
              <w:sz w:val="24"/>
              <w:szCs w:val="24"/>
            </w:rPr>
            <w:t>11</w:t>
          </w:r>
          <w:r>
            <w:rPr>
              <w:rFonts w:hint="default" w:ascii="Times New Roman" w:hAnsi="Times New Roman" w:cs="Times New Roman"/>
              <w:color w:val="auto"/>
              <w:kern w:val="0"/>
              <w:sz w:val="24"/>
              <w:szCs w:val="24"/>
            </w:rPr>
            <w:t>(1), 83–93.</w:t>
          </w:r>
        </w:p>
        <w:p w14:paraId="73EF91C3">
          <w:pPr>
            <w:pStyle w:val="23"/>
            <w:keepNext w:val="0"/>
            <w:keepLines w:val="0"/>
            <w:widowControl/>
            <w:suppressLineNumbers w:val="0"/>
            <w:spacing w:line="240" w:lineRule="auto"/>
            <w:ind w:left="480" w:hanging="480"/>
            <w:jc w:val="both"/>
            <w:rPr>
              <w:rFonts w:hint="default" w:ascii="Times New Roman" w:hAnsi="Times New Roman" w:cs="Times New Roman"/>
              <w:color w:val="auto"/>
              <w:kern w:val="0"/>
              <w:sz w:val="24"/>
              <w:szCs w:val="24"/>
            </w:rPr>
          </w:pPr>
          <w:r>
            <w:rPr>
              <w:rFonts w:hint="default" w:ascii="Times New Roman" w:hAnsi="Times New Roman" w:eastAsia="SimSun" w:cs="Times New Roman"/>
              <w:sz w:val="24"/>
              <w:szCs w:val="24"/>
            </w:rPr>
            <w:t>Lauranti, Maria</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et.al</w:t>
          </w:r>
          <w:r>
            <w:t xml:space="preserve">. (2018). Mewujudkan Jaminan Nasional yang Non-Diskriminatif. In </w:t>
          </w:r>
          <w:r>
            <w:rPr>
              <w:i/>
              <w:iCs/>
            </w:rPr>
            <w:t>Jurnal Sains dan Seni ITS</w:t>
          </w:r>
          <w:r>
            <w:t xml:space="preserve"> (Vol. 6, Issue 1). Perkumpulan Prakarsa. </w:t>
          </w:r>
          <w:r>
            <w:rPr>
              <w:rFonts w:hint="default"/>
            </w:rPr>
            <w:t>https://repository.theprakarsa.org/media/publications/293880-mewujudkan-jaminan-kesehatan-nasional-ya-5786187b.pdf</w:t>
          </w:r>
        </w:p>
        <w:p w14:paraId="7F07537C">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Machdum, F. O. S. V. (2020). Analisis Perencanaan Kebijakan Jaminan Kesehatan Nasional Dari Aspek Kepesertaan Di Kementerian Ppn/Bappenas. </w:t>
          </w:r>
          <w:r>
            <w:rPr>
              <w:rFonts w:hint="default" w:ascii="Times New Roman" w:hAnsi="Times New Roman" w:cs="Times New Roman"/>
              <w:i/>
              <w:iCs/>
              <w:color w:val="auto"/>
              <w:kern w:val="0"/>
              <w:sz w:val="24"/>
              <w:szCs w:val="24"/>
            </w:rPr>
            <w:t>Jurnal Ilmu Kesejahteraan Sosial</w:t>
          </w:r>
          <w:r>
            <w:rPr>
              <w:rFonts w:hint="default" w:ascii="Times New Roman" w:hAnsi="Times New Roman" w:cs="Times New Roman"/>
              <w:color w:val="auto"/>
              <w:kern w:val="0"/>
              <w:sz w:val="24"/>
              <w:szCs w:val="24"/>
            </w:rPr>
            <w:t xml:space="preserve">, </w:t>
          </w:r>
          <w:r>
            <w:rPr>
              <w:rFonts w:hint="default" w:ascii="Times New Roman" w:hAnsi="Times New Roman" w:cs="Times New Roman"/>
              <w:i/>
              <w:iCs/>
              <w:color w:val="auto"/>
              <w:kern w:val="0"/>
              <w:sz w:val="24"/>
              <w:szCs w:val="24"/>
            </w:rPr>
            <w:t>21</w:t>
          </w:r>
          <w:r>
            <w:rPr>
              <w:rFonts w:hint="default" w:ascii="Times New Roman" w:hAnsi="Times New Roman" w:cs="Times New Roman"/>
              <w:color w:val="auto"/>
              <w:kern w:val="0"/>
              <w:sz w:val="24"/>
              <w:szCs w:val="24"/>
            </w:rPr>
            <w:t>(1), 63–86. https://doi.org/10.7454/jurnalkessos.v21i1.253</w:t>
          </w:r>
        </w:p>
        <w:p w14:paraId="70A244DE">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Sokhivah. (2021). Evaluasi dan Indikator Keberhasilan Program Intervensi Sosial untuk Perubahan. </w:t>
          </w:r>
          <w:r>
            <w:rPr>
              <w:rFonts w:hint="default" w:ascii="Times New Roman" w:hAnsi="Times New Roman" w:cs="Times New Roman"/>
              <w:i/>
              <w:iCs/>
              <w:color w:val="auto"/>
              <w:kern w:val="0"/>
              <w:sz w:val="24"/>
              <w:szCs w:val="24"/>
            </w:rPr>
            <w:t>KHIDMAT SOSIAL: Social Work and Social Service</w:t>
          </w:r>
          <w:r>
            <w:rPr>
              <w:rFonts w:hint="default" w:ascii="Times New Roman" w:hAnsi="Times New Roman" w:cs="Times New Roman"/>
              <w:color w:val="auto"/>
              <w:kern w:val="0"/>
              <w:sz w:val="24"/>
              <w:szCs w:val="24"/>
            </w:rPr>
            <w:t xml:space="preserve">, </w:t>
          </w:r>
          <w:r>
            <w:rPr>
              <w:rFonts w:hint="default" w:ascii="Times New Roman" w:hAnsi="Times New Roman" w:cs="Times New Roman"/>
              <w:i/>
              <w:iCs/>
              <w:color w:val="auto"/>
              <w:kern w:val="0"/>
              <w:sz w:val="24"/>
              <w:szCs w:val="24"/>
            </w:rPr>
            <w:t>2</w:t>
          </w:r>
          <w:r>
            <w:rPr>
              <w:rFonts w:hint="default" w:ascii="Times New Roman" w:hAnsi="Times New Roman" w:cs="Times New Roman"/>
              <w:color w:val="auto"/>
              <w:kern w:val="0"/>
              <w:sz w:val="24"/>
              <w:szCs w:val="24"/>
            </w:rPr>
            <w:t>(1), 1–6. https://jurnal.umj.ac.id/index.php/khidmatsosial/article/download/10201/5789</w:t>
          </w:r>
        </w:p>
        <w:p w14:paraId="094B99B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240" w:afterAutospacing="0" w:line="240" w:lineRule="auto"/>
            <w:ind w:left="482" w:right="0" w:hanging="482"/>
            <w:jc w:val="both"/>
            <w:textAlignment w:val="auto"/>
            <w:rPr>
              <w:rFonts w:hint="default" w:ascii="Times New Roman" w:hAnsi="Times New Roman" w:cs="Times New Roman"/>
              <w:color w:val="auto"/>
              <w:kern w:val="0"/>
              <w:sz w:val="24"/>
              <w:szCs w:val="24"/>
            </w:rPr>
          </w:pPr>
          <w:r>
            <w:rPr>
              <w:rFonts w:hint="default" w:ascii="Times New Roman" w:hAnsi="Times New Roman" w:eastAsia="DengXian" w:cs="Times New Roman"/>
              <w:color w:val="auto"/>
              <w:kern w:val="0"/>
              <w:sz w:val="24"/>
              <w:szCs w:val="24"/>
              <w:lang w:val="en-US" w:eastAsia="zh-CN" w:bidi="ar"/>
            </w:rPr>
            <w:t xml:space="preserve">Walker, M. B. H. H. M. R.-S. R. (2023). Is the Social Safety Net a Long-Term Investment? Large-Scale Evidence From the Food Stamps Program. </w:t>
          </w:r>
          <w:r>
            <w:rPr>
              <w:rFonts w:hint="default" w:ascii="Times New Roman" w:hAnsi="Times New Roman" w:eastAsia="DengXian" w:cs="Times New Roman"/>
              <w:i/>
              <w:iCs/>
              <w:color w:val="auto"/>
              <w:kern w:val="0"/>
              <w:sz w:val="24"/>
              <w:szCs w:val="24"/>
              <w:lang w:val="en-US" w:eastAsia="zh-CN" w:bidi="ar"/>
            </w:rPr>
            <w:t>The Review of Economic Studies</w:t>
          </w:r>
          <w:r>
            <w:rPr>
              <w:rFonts w:hint="default" w:ascii="Times New Roman" w:hAnsi="Times New Roman" w:eastAsia="DengXian" w:cs="Times New Roman"/>
              <w:color w:val="auto"/>
              <w:kern w:val="0"/>
              <w:sz w:val="24"/>
              <w:szCs w:val="24"/>
              <w:lang w:val="en-US" w:eastAsia="zh-CN" w:bidi="ar"/>
            </w:rPr>
            <w:t>.</w:t>
          </w:r>
        </w:p>
        <w:p w14:paraId="214D5C80">
          <w:pPr>
            <w:widowControl w:val="0"/>
            <w:autoSpaceDE w:val="0"/>
            <w:autoSpaceDN w:val="0"/>
            <w:adjustRightInd w:val="0"/>
            <w:spacing w:after="240" w:line="240" w:lineRule="auto"/>
            <w:ind w:left="539" w:hanging="539"/>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Wibowo, R. S., Penangsang, O., Aryani, N. K., Mukti, P. H., Pamuji, F. A., &amp; Mardiyanto, R. (2023). Implementasi Photovoltaic On-Grid guna Meminimalisir Pemadaman Listrik Bergilir serta Jaringan Telekomunikasi di Pulau Bawean. </w:t>
          </w:r>
          <w:r>
            <w:rPr>
              <w:rFonts w:hint="default" w:ascii="Times New Roman" w:hAnsi="Times New Roman" w:cs="Times New Roman"/>
              <w:i/>
              <w:iCs/>
              <w:color w:val="auto"/>
              <w:kern w:val="0"/>
              <w:sz w:val="24"/>
              <w:szCs w:val="24"/>
            </w:rPr>
            <w:t>Sewagati</w:t>
          </w:r>
          <w:r>
            <w:rPr>
              <w:rFonts w:hint="default" w:ascii="Times New Roman" w:hAnsi="Times New Roman" w:cs="Times New Roman"/>
              <w:color w:val="auto"/>
              <w:kern w:val="0"/>
              <w:sz w:val="24"/>
              <w:szCs w:val="24"/>
            </w:rPr>
            <w:t xml:space="preserve">, </w:t>
          </w:r>
          <w:r>
            <w:rPr>
              <w:rFonts w:hint="default" w:ascii="Times New Roman" w:hAnsi="Times New Roman" w:cs="Times New Roman"/>
              <w:i/>
              <w:iCs/>
              <w:color w:val="auto"/>
              <w:kern w:val="0"/>
              <w:sz w:val="24"/>
              <w:szCs w:val="24"/>
            </w:rPr>
            <w:t>8</w:t>
          </w:r>
          <w:r>
            <w:rPr>
              <w:rFonts w:hint="default" w:ascii="Times New Roman" w:hAnsi="Times New Roman" w:cs="Times New Roman"/>
              <w:color w:val="auto"/>
              <w:kern w:val="0"/>
              <w:sz w:val="24"/>
              <w:szCs w:val="24"/>
            </w:rPr>
            <w:t>(1), 1135–1144. https://doi.org/10.12962/j26139960.v8i1.795</w:t>
          </w:r>
        </w:p>
        <w:p w14:paraId="496C6279">
          <w:pPr>
            <w:widowControl w:val="0"/>
            <w:autoSpaceDE w:val="0"/>
            <w:autoSpaceDN w:val="0"/>
            <w:adjustRightInd w:val="0"/>
            <w:spacing w:after="240" w:line="240" w:lineRule="auto"/>
            <w:ind w:left="539" w:hanging="539"/>
            <w:jc w:val="both"/>
            <w:rPr>
              <w:rFonts w:hint="default" w:ascii="Times New Roman" w:hAnsi="Times New Roman" w:cs="Times New Roman"/>
              <w:color w:val="auto"/>
              <w:sz w:val="24"/>
            </w:rPr>
          </w:pPr>
          <w:r>
            <w:rPr>
              <w:rFonts w:hint="default" w:ascii="Times New Roman" w:hAnsi="Times New Roman" w:cs="Times New Roman"/>
              <w:color w:val="auto"/>
              <w:kern w:val="0"/>
              <w:sz w:val="24"/>
              <w:szCs w:val="24"/>
            </w:rPr>
            <w:t xml:space="preserve">Yulianti, A., Utoyo, B. S., &amp; Brima Atika, D. (2022). Kinerja Program Nusantara Sehat di Daerah Terpencil Perbatasan dan Kepulauan. </w:t>
          </w:r>
          <w:r>
            <w:rPr>
              <w:rFonts w:hint="default" w:ascii="Times New Roman" w:hAnsi="Times New Roman" w:cs="Times New Roman"/>
              <w:i/>
              <w:iCs/>
              <w:color w:val="auto"/>
              <w:kern w:val="0"/>
              <w:sz w:val="24"/>
              <w:szCs w:val="24"/>
            </w:rPr>
            <w:t>Jurnal Administrativa</w:t>
          </w:r>
          <w:r>
            <w:rPr>
              <w:rFonts w:hint="default" w:ascii="Times New Roman" w:hAnsi="Times New Roman" w:cs="Times New Roman"/>
              <w:color w:val="auto"/>
              <w:kern w:val="0"/>
              <w:sz w:val="24"/>
              <w:szCs w:val="24"/>
            </w:rPr>
            <w:t xml:space="preserve">, </w:t>
          </w:r>
          <w:r>
            <w:rPr>
              <w:rFonts w:hint="default" w:ascii="Times New Roman" w:hAnsi="Times New Roman" w:cs="Times New Roman"/>
              <w:i/>
              <w:iCs/>
              <w:color w:val="auto"/>
              <w:kern w:val="0"/>
              <w:sz w:val="24"/>
              <w:szCs w:val="24"/>
            </w:rPr>
            <w:t>4</w:t>
          </w:r>
          <w:r>
            <w:rPr>
              <w:rFonts w:hint="default" w:ascii="Times New Roman" w:hAnsi="Times New Roman" w:cs="Times New Roman"/>
              <w:color w:val="auto"/>
              <w:kern w:val="0"/>
              <w:sz w:val="24"/>
              <w:szCs w:val="24"/>
            </w:rPr>
            <w:t>(1), 141–156. https://administrativa.fisip.unila.ac.id/index.php/1/article/view/122/85</w:t>
          </w:r>
        </w:p>
        <w:p w14:paraId="4D258E79">
          <w:pPr>
            <w:pStyle w:val="23"/>
            <w:keepNext w:val="0"/>
            <w:keepLines w:val="0"/>
            <w:widowControl/>
            <w:suppressLineNumbers w:val="0"/>
            <w:spacing w:line="240" w:lineRule="auto"/>
            <w:rPr>
              <w:color w:val="auto"/>
            </w:rPr>
            <w:sectPr>
              <w:headerReference r:id="rId7" w:type="default"/>
              <w:footerReference r:id="rId8" w:type="default"/>
              <w:pgSz w:w="11906" w:h="16838"/>
              <w:pgMar w:top="2268" w:right="1701" w:bottom="1417" w:left="2268" w:header="850" w:footer="850" w:gutter="0"/>
              <w:pgNumType w:fmt="decimal"/>
              <w:cols w:space="0" w:num="1"/>
              <w:rtlGutter w:val="0"/>
              <w:docGrid w:linePitch="360" w:charSpace="0"/>
            </w:sectPr>
          </w:pPr>
          <w:r>
            <w:rPr>
              <w:rFonts w:hint="default" w:ascii="Times New Roman" w:hAnsi="Times New Roman" w:cs="Times New Roman"/>
              <w:b/>
              <w:bCs/>
              <w:color w:val="auto"/>
              <w:sz w:val="24"/>
              <w:szCs w:val="24"/>
            </w:rPr>
            <w:fldChar w:fldCharType="end"/>
          </w:r>
        </w:p>
        <w:p w14:paraId="56D1787C">
          <w:pPr>
            <w:tabs>
              <w:tab w:val="left" w:pos="4155"/>
            </w:tabs>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color w:val="auto"/>
              <w:sz w:val="24"/>
              <w:szCs w:val="24"/>
            </w:rPr>
            <w:fldChar w:fldCharType="end"/>
          </w:r>
        </w:p>
        <w:p w14:paraId="7C1DD6B3">
          <w:pPr>
            <w:ind w:left="709" w:hanging="709"/>
            <w:jc w:val="both"/>
            <w:rPr>
              <w:rFonts w:hint="default" w:ascii="Times New Roman" w:hAnsi="Times New Roman" w:cs="Times New Roman"/>
              <w:sz w:val="24"/>
              <w:szCs w:val="24"/>
            </w:rPr>
          </w:pPr>
        </w:p>
      </w:sdtContent>
    </w:sdt>
    <w:p w14:paraId="15CF5D7D">
      <w:pPr>
        <w:adjustRightInd w:val="0"/>
        <w:ind w:left="709" w:hanging="709"/>
        <w:jc w:val="both"/>
        <w:rPr>
          <w:rFonts w:hint="default" w:ascii="Times New Roman" w:hAnsi="Times New Roman" w:cs="Times New Roman"/>
          <w:sz w:val="24"/>
          <w:szCs w:val="24"/>
        </w:rPr>
      </w:pPr>
    </w:p>
    <w:sectPr>
      <w:headerReference r:id="rId9" w:type="default"/>
      <w:footerReference r:id="rId10"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brima">
    <w:panose1 w:val="02000000000000000000"/>
    <w:charset w:val="00"/>
    <w:family w:val="auto"/>
    <w:pitch w:val="default"/>
    <w:sig w:usb0="A000505F" w:usb1="02000041" w:usb2="00000800" w:usb3="00000404" w:csb0="00000093" w:csb1="00000000"/>
  </w:font>
  <w:font w:name="Junicode">
    <w:altName w:val="Times New Roman"/>
    <w:panose1 w:val="00000000000000000000"/>
    <w:charset w:val="00"/>
    <w:family w:val="auto"/>
    <w:pitch w:val="default"/>
    <w:sig w:usb0="00000000" w:usb1="00000000" w:usb2="00008004" w:usb3="00000000" w:csb0="8000009B" w:csb1="00000000"/>
  </w:font>
  <w:font w:name="Symbol">
    <w:panose1 w:val="05050102010706020507"/>
    <w:charset w:val="02"/>
    <w:family w:val="roman"/>
    <w:pitch w:val="default"/>
    <w:sig w:usb0="00000000" w:usb1="00000000" w:usb2="00000000" w:usb3="00000000" w:csb0="80000000" w:csb1="00000000"/>
  </w:font>
  <w:font w:name="Droid Sans Fallback">
    <w:altName w:val="Times New Roman"/>
    <w:panose1 w:val="00000000000000000000"/>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Batang">
    <w:altName w:val="Malgun Gothic"/>
    <w:panose1 w:val="02030600000101010101"/>
    <w:charset w:val="81"/>
    <w:family w:val="roman"/>
    <w:pitch w:val="default"/>
    <w:sig w:usb0="00000000" w:usb1="00000000" w:usb2="00000030" w:usb3="00000000" w:csb0="0008009F" w:csb1="00000000"/>
  </w:font>
  <w:font w:name="TimesNewRomanPSMT">
    <w:altName w:val="Times New Roman"/>
    <w:panose1 w:val="00000000000000000000"/>
    <w:charset w:val="00"/>
    <w:family w:val="roman"/>
    <w:pitch w:val="default"/>
    <w:sig w:usb0="00000000" w:usb1="00000000" w:usb2="00000000" w:usb3="00000000" w:csb0="00000000" w:csb1="00000000"/>
  </w:font>
  <w:font w:name="ArialMT">
    <w:altName w:val="Times New Roman"/>
    <w:panose1 w:val="00000000000000000000"/>
    <w:charset w:val="4D"/>
    <w:family w:val="swiss"/>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Segoe UI">
    <w:panose1 w:val="020B0502040204020203"/>
    <w:charset w:val="00"/>
    <w:family w:val="swiss"/>
    <w:pitch w:val="default"/>
    <w:sig w:usb0="E4002EFF" w:usb1="C000E47F"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3A8F4">
    <w:pPr>
      <w:pStyle w:val="17"/>
      <w:jc w:val="center"/>
    </w:pPr>
    <w:r>
      <w:fldChar w:fldCharType="begin"/>
    </w:r>
    <w:r>
      <w:instrText xml:space="preserve"> PAGE   \* MERGEFORMAT </w:instrText>
    </w:r>
    <w:r>
      <w:fldChar w:fldCharType="separate"/>
    </w:r>
    <w:r>
      <w:t>330</w:t>
    </w:r>
    <w:r>
      <w:fldChar w:fldCharType="end"/>
    </w:r>
  </w:p>
  <w:p w14:paraId="2B35756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2BBC">
    <w:pPr>
      <w:pStyle w:val="17"/>
      <w:tabs>
        <w:tab w:val="center" w:pos="4153"/>
        <w:tab w:val="right" w:pos="8306"/>
        <w:tab w:val="clear" w:pos="4513"/>
        <w:tab w:val="clear" w:pos="9026"/>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A5393">
                          <w:pPr>
                            <w:pStyle w:val="17"/>
                            <w:tabs>
                              <w:tab w:val="center" w:pos="4153"/>
                              <w:tab w:val="right" w:pos="8306"/>
                              <w:tab w:val="clear" w:pos="4513"/>
                              <w:tab w:val="clear" w:pos="902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183</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75SEiAgAAZ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qO+UhIgIA&#10;AGQEAAAOAAAAAAAAAAEAIAAAAB8BAABkcnMvZTJvRG9jLnhtbFBLBQYAAAAABgAGAFkBAACzBQAA&#10;AAA=&#10;">
              <v:fill on="f" focussize="0,0"/>
              <v:stroke on="f" weight="0.5pt"/>
              <v:imagedata o:title=""/>
              <o:lock v:ext="edit" aspectratio="f"/>
              <v:textbox inset="0mm,0mm,0mm,0mm" style="mso-fit-shape-to-text:t;">
                <w:txbxContent>
                  <w:p w14:paraId="395A5393">
                    <w:pPr>
                      <w:pStyle w:val="17"/>
                      <w:tabs>
                        <w:tab w:val="center" w:pos="4153"/>
                        <w:tab w:val="right" w:pos="8306"/>
                        <w:tab w:val="clear" w:pos="4513"/>
                        <w:tab w:val="clear" w:pos="902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183</w:t>
                    </w:r>
                    <w:r>
                      <w:rPr>
                        <w:rFonts w:hint="default" w:ascii="Times New Roman" w:hAnsi="Times New Roman"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D49D">
    <w:pPr>
      <w:pStyle w:val="17"/>
      <w:tabs>
        <w:tab w:val="center" w:pos="4153"/>
        <w:tab w:val="right" w:pos="8306"/>
        <w:tab w:val="clear" w:pos="4513"/>
        <w:tab w:val="clear" w:pos="902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BB6DB">
                          <w:pPr>
                            <w:pStyle w:val="17"/>
                            <w:tabs>
                              <w:tab w:val="center" w:pos="4153"/>
                              <w:tab w:val="right" w:pos="8306"/>
                              <w:tab w:val="clear" w:pos="4513"/>
                              <w:tab w:val="clear" w:pos="9026"/>
                            </w:tabs>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189</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AEQWKoIgIA&#10;AGQEAAAOAAAAAAAAAAEAIAAAAB8BAABkcnMvZTJvRG9jLnhtbFBLBQYAAAAABgAGAFkBAACzBQAA&#10;AAA=&#10;">
              <v:fill on="f" focussize="0,0"/>
              <v:stroke on="f" weight="0.5pt"/>
              <v:imagedata o:title=""/>
              <o:lock v:ext="edit" aspectratio="f"/>
              <v:textbox inset="0mm,0mm,0mm,0mm" style="mso-fit-shape-to-text:t;">
                <w:txbxContent>
                  <w:p w14:paraId="141BB6DB">
                    <w:pPr>
                      <w:pStyle w:val="17"/>
                      <w:tabs>
                        <w:tab w:val="center" w:pos="4153"/>
                        <w:tab w:val="right" w:pos="8306"/>
                        <w:tab w:val="clear" w:pos="4513"/>
                        <w:tab w:val="clear" w:pos="9026"/>
                      </w:tabs>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189</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D6C7">
    <w:pPr>
      <w:pStyle w:val="20"/>
      <w:tabs>
        <w:tab w:val="left" w:pos="6355"/>
        <w:tab w:val="left" w:pos="7107"/>
      </w:tabs>
      <w:rPr>
        <w:color w:val="0070C0"/>
        <w:sz w:val="20"/>
        <w:szCs w:val="20"/>
      </w:rPr>
    </w:pPr>
    <w:r>
      <w:rPr>
        <w:color w:val="0070C0"/>
        <w:sz w:val="20"/>
        <w:szCs w:val="20"/>
      </w:rPr>
      <w:t>Jurnal Aristo (Social, Politic, Humaniora) Vol. 1</w:t>
    </w:r>
    <w:r>
      <w:rPr>
        <w:color w:val="0070C0"/>
        <w:sz w:val="20"/>
        <w:szCs w:val="20"/>
        <w:lang w:val="en-US"/>
      </w:rPr>
      <w:t>3</w:t>
    </w:r>
    <w:r>
      <w:rPr>
        <w:color w:val="0070C0"/>
        <w:sz w:val="20"/>
        <w:szCs w:val="20"/>
      </w:rPr>
      <w:t>, No.</w:t>
    </w:r>
    <w:r>
      <w:rPr>
        <w:color w:val="0070C0"/>
        <w:sz w:val="20"/>
        <w:szCs w:val="20"/>
        <w:lang w:val="en-US"/>
      </w:rPr>
      <w:t>1</w:t>
    </w:r>
    <w:r>
      <w:rPr>
        <w:color w:val="0070C0"/>
        <w:sz w:val="20"/>
        <w:szCs w:val="20"/>
      </w:rPr>
      <w:t xml:space="preserve"> (202</w:t>
    </w:r>
    <w:r>
      <w:rPr>
        <w:color w:val="0070C0"/>
        <w:sz w:val="20"/>
        <w:szCs w:val="20"/>
        <w:lang w:val="en-US"/>
      </w:rPr>
      <w:t>5</w:t>
    </w:r>
    <w:r>
      <w:rPr>
        <w:color w:val="0070C0"/>
        <w:sz w:val="20"/>
        <w:szCs w:val="20"/>
      </w:rPr>
      <w:t>) : J</w:t>
    </w:r>
    <w:r>
      <w:rPr>
        <w:color w:val="0070C0"/>
        <w:sz w:val="20"/>
        <w:szCs w:val="20"/>
        <w:lang w:val="en-US"/>
      </w:rPr>
      <w:t>anuary</w:t>
    </w:r>
    <w:r>
      <w:rPr>
        <w:color w:val="0070C0"/>
        <w:sz w:val="20"/>
        <w:szCs w:val="20"/>
      </w:rPr>
      <w:t xml:space="preserve">, pp. </w:t>
    </w:r>
    <w:r>
      <w:rPr>
        <w:color w:val="0070C0"/>
        <w:sz w:val="20"/>
        <w:szCs w:val="20"/>
        <w:lang w:val="en-US"/>
      </w:rPr>
      <w:t>30</w:t>
    </w:r>
    <w:r>
      <w:rPr>
        <w:color w:val="0070C0"/>
        <w:sz w:val="20"/>
        <w:szCs w:val="20"/>
      </w:rPr>
      <w:t xml:space="preserve"> -</w:t>
    </w:r>
    <w:r>
      <w:rPr>
        <w:color w:val="0070C0"/>
        <w:sz w:val="20"/>
        <w:szCs w:val="20"/>
        <w:lang w:val="en-US"/>
      </w:rPr>
      <w:t xml:space="preserve"> 55</w:t>
    </w:r>
  </w:p>
  <w:p w14:paraId="67134AF6">
    <w:pPr>
      <w:pStyle w:val="20"/>
      <w:rPr>
        <w:sz w:val="20"/>
        <w:szCs w:val="20"/>
        <w:lang w:val="en-US"/>
      </w:rPr>
    </w:pPr>
    <w:r>
      <w:rPr>
        <w:color w:val="0070C0"/>
        <w:sz w:val="20"/>
        <w:szCs w:val="20"/>
      </w:rPr>
      <w:t>Social and Political Science Faculty, Universitas Muhammadiyah Ponorogo.</w:t>
    </w:r>
    <w:r>
      <w:rPr>
        <w:color w:val="0070C0"/>
        <w:sz w:val="20"/>
        <w:szCs w:val="20"/>
      </w:rPr>
      <w:tab/>
    </w:r>
    <w:r>
      <w:rPr>
        <w:b/>
        <w:sz w:val="20"/>
        <w:szCs w:val="20"/>
        <w:lang w:val="en-US"/>
      </w:rPr>
      <w:t>30</w:t>
    </w:r>
  </w:p>
  <w:p w14:paraId="6A2FA1D2">
    <w:pPr>
      <w:pStyle w:val="20"/>
      <w:rPr>
        <w:color w:val="0070C0"/>
        <w:sz w:val="20"/>
        <w:szCs w:val="20"/>
      </w:rPr>
    </w:pPr>
    <w:r>
      <w:rPr>
        <w:color w:val="0070C0"/>
        <w:sz w:val="20"/>
        <w:szCs w:val="20"/>
      </w:rPr>
      <w:t xml:space="preserve">p-ISSN </w:t>
    </w:r>
    <w:r>
      <w:rPr>
        <w:color w:val="0070C0"/>
        <w:sz w:val="20"/>
        <w:szCs w:val="20"/>
        <w:shd w:val="clear" w:color="auto" w:fill="FFFFFF"/>
      </w:rPr>
      <w:t>2338-516</w:t>
    </w:r>
    <w:r>
      <w:rPr>
        <w:color w:val="0070C0"/>
        <w:sz w:val="20"/>
        <w:szCs w:val="20"/>
      </w:rPr>
      <w:t xml:space="preserve">2 / e-ISSN </w:t>
    </w:r>
    <w:r>
      <w:fldChar w:fldCharType="begin"/>
    </w:r>
    <w:r>
      <w:instrText xml:space="preserve"> HYPERLINK "http://issn.pdii.lipi.go.id/issn.cgi?daftar&amp;&amp;&amp;&amp;&amp;2338-5162" \t "baru" </w:instrText>
    </w:r>
    <w:r>
      <w:fldChar w:fldCharType="separate"/>
    </w:r>
    <w:r>
      <w:rPr>
        <w:rStyle w:val="22"/>
        <w:color w:val="0070C0"/>
        <w:sz w:val="20"/>
        <w:szCs w:val="20"/>
        <w:u w:val="none"/>
      </w:rPr>
      <w:t>2338-5162</w:t>
    </w:r>
    <w:r>
      <w:rPr>
        <w:rStyle w:val="22"/>
        <w:color w:val="0070C0"/>
        <w:sz w:val="20"/>
        <w:szCs w:val="20"/>
        <w:u w:val="none"/>
      </w:rPr>
      <w:fldChar w:fldCharType="end"/>
    </w:r>
  </w:p>
  <w:p w14:paraId="7957CFE2">
    <w:pPr>
      <w:pStyle w:val="20"/>
    </w:pPr>
    <w:r>
      <w:rPr>
        <w:color w:val="4472C4"/>
        <w:sz w:val="20"/>
        <w:szCs w:val="20"/>
        <w:lang w:val="en-US" w:eastAsia="en-US"/>
      </w:rPr>
      <mc:AlternateContent>
        <mc:Choice Requires="wps">
          <w:drawing>
            <wp:anchor distT="0" distB="0" distL="0" distR="0" simplePos="0" relativeHeight="251659264" behindDoc="0" locked="0" layoutInCell="1" allowOverlap="1">
              <wp:simplePos x="0" y="0"/>
              <wp:positionH relativeFrom="column">
                <wp:posOffset>8255</wp:posOffset>
              </wp:positionH>
              <wp:positionV relativeFrom="paragraph">
                <wp:posOffset>102870</wp:posOffset>
              </wp:positionV>
              <wp:extent cx="5708650" cy="635"/>
              <wp:effectExtent l="0" t="19050" r="0" b="18415"/>
              <wp:wrapNone/>
              <wp:docPr id="4097" name="Straight Arrow Connector 5"/>
              <wp:cNvGraphicFramePr/>
              <a:graphic xmlns:a="http://schemas.openxmlformats.org/drawingml/2006/main">
                <a:graphicData uri="http://schemas.microsoft.com/office/word/2010/wordprocessingShape">
                  <wps:wsp>
                    <wps:cNvCnPr/>
                    <wps:spPr>
                      <a:xfrm>
                        <a:off x="0" y="0"/>
                        <a:ext cx="5708650" cy="635"/>
                      </a:xfrm>
                      <a:prstGeom prst="bentConnector3">
                        <a:avLst>
                          <a:gd name="adj1" fmla="val 50000"/>
                        </a:avLst>
                      </a:prstGeom>
                      <a:ln w="28575" cap="flat" cmpd="sng">
                        <a:solidFill>
                          <a:srgbClr val="000000"/>
                        </a:solidFill>
                        <a:prstDash val="solid"/>
                        <a:miter/>
                        <a:headEnd type="none" w="med" len="med"/>
                        <a:tailEnd type="none" w="med" len="med"/>
                      </a:ln>
                    </wps:spPr>
                    <wps:bodyPr/>
                  </wps:wsp>
                </a:graphicData>
              </a:graphic>
            </wp:anchor>
          </w:drawing>
        </mc:Choice>
        <mc:Fallback>
          <w:pict>
            <v:shape id="Straight Arrow Connector 5" o:spid="_x0000_s1026" o:spt="34" type="#_x0000_t34" style="position:absolute;left:0pt;margin-left:0.65pt;margin-top:8.1pt;height:0.05pt;width:449.5pt;z-index:251659264;mso-width-relative:page;mso-height-relative:page;" filled="f" stroked="t" coordsize="21600,21600" o:gfxdata="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IFx+0wAAAAcBAAAPAAAAAAAAAAEAIAAAACIAAABkcnMvZG93&#10;bnJldi54bWxQSwECFAAUAAAACACHTuJA4dU/9gUCAAAoBAAADgAAAAAAAAABACAAAAAiAQAAZHJz&#10;L2Uyb0RvYy54bWxQSwUGAAAAAAYABgBZAQAAmQUAAAAA&#10;" adj="10800">
              <v:fill on="f" focussize="0,0"/>
              <v:stroke weight="2.25pt" color="#000000"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C8DF">
    <w:pPr>
      <w:pStyle w:val="20"/>
      <w:pBdr>
        <w:bottom w:val="none" w:color="auto" w:sz="0" w:space="0"/>
      </w:pBdr>
      <w:tabs>
        <w:tab w:val="center" w:pos="4153"/>
        <w:tab w:val="right" w:pos="8306"/>
        <w:tab w:val="clear" w:pos="4513"/>
        <w:tab w:val="clear"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89C3">
    <w:pPr>
      <w:pStyle w:val="20"/>
      <w:tabs>
        <w:tab w:val="left" w:pos="6355"/>
      </w:tabs>
      <w:jc w:val="center"/>
      <w:rPr>
        <w:szCs w:val="20"/>
      </w:rPr>
    </w:pPr>
    <w:r>
      <w:rPr>
        <w:color w:val="0070C0"/>
        <w:sz w:val="20"/>
        <w:szCs w:val="20"/>
      </w:rPr>
      <w:t xml:space="preserve">Jurnal Aristo (Social, Politic, Humaniora) Vol. </w:t>
    </w:r>
    <w:r>
      <w:rPr>
        <w:color w:val="0070C0"/>
        <w:sz w:val="20"/>
        <w:szCs w:val="20"/>
        <w:lang w:val="en-US"/>
      </w:rPr>
      <w:t>13</w:t>
    </w:r>
    <w:r>
      <w:rPr>
        <w:color w:val="0070C0"/>
        <w:sz w:val="20"/>
        <w:szCs w:val="20"/>
      </w:rPr>
      <w:t>, No.</w:t>
    </w:r>
    <w:r>
      <w:rPr>
        <w:color w:val="0070C0"/>
        <w:sz w:val="20"/>
        <w:szCs w:val="20"/>
        <w:lang w:val="en-US"/>
      </w:rPr>
      <w:t>1</w:t>
    </w:r>
    <w:r>
      <w:rPr>
        <w:color w:val="0070C0"/>
        <w:sz w:val="20"/>
        <w:szCs w:val="20"/>
      </w:rPr>
      <w:t xml:space="preserve"> (202</w:t>
    </w:r>
    <w:r>
      <w:rPr>
        <w:color w:val="0070C0"/>
        <w:sz w:val="20"/>
        <w:szCs w:val="20"/>
        <w:lang w:val="en-US"/>
      </w:rPr>
      <w:t>5</w:t>
    </w:r>
    <w:r>
      <w:rPr>
        <w:color w:val="0070C0"/>
        <w:sz w:val="20"/>
        <w:szCs w:val="20"/>
      </w:rPr>
      <w:t>): J</w:t>
    </w:r>
    <w:r>
      <w:rPr>
        <w:color w:val="0070C0"/>
        <w:sz w:val="20"/>
        <w:szCs w:val="20"/>
        <w:lang w:val="en-US"/>
      </w:rPr>
      <w:t>anuary</w:t>
    </w:r>
    <w:r>
      <w:rPr>
        <w:color w:val="0070C0"/>
        <w:sz w:val="20"/>
        <w:szCs w:val="20"/>
      </w:rPr>
      <w:t xml:space="preserve">, pp. </w:t>
    </w:r>
    <w:r>
      <w:rPr>
        <w:color w:val="0070C0"/>
        <w:sz w:val="20"/>
        <w:szCs w:val="20"/>
        <w:lang w:val="en-US"/>
      </w:rPr>
      <w:t xml:space="preserve">30 </w:t>
    </w:r>
    <w:r>
      <w:rPr>
        <w:color w:val="0070C0"/>
        <w:sz w:val="20"/>
        <w:szCs w:val="20"/>
      </w:rPr>
      <w:t>-</w:t>
    </w:r>
    <w:r>
      <w:rPr>
        <w:color w:val="0070C0"/>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pStyle w:val="52"/>
      <w:lvlText w:val="Table %1. "/>
      <w:lvlJc w:val="left"/>
      <w:pPr>
        <w:ind w:left="360" w:hanging="360"/>
      </w:pPr>
      <w:rPr>
        <w:rFonts w:hint="default" w:ascii="Junicode" w:hAnsi="Junicode" w:cs="Times New Roman"/>
        <w:b/>
        <w:bCs w:val="0"/>
        <w:i w:val="0"/>
        <w:iCs w:val="0"/>
        <w:caps w:val="0"/>
        <w:vanish w:val="0"/>
        <w:color w:val="000000"/>
        <w:sz w:val="20"/>
        <w:szCs w:val="16"/>
        <w:vertAlign w:val="baseline"/>
      </w:rPr>
    </w:lvl>
  </w:abstractNum>
  <w:abstractNum w:abstractNumId="1">
    <w:nsid w:val="00000008"/>
    <w:multiLevelType w:val="multilevel"/>
    <w:tmpl w:val="00000008"/>
    <w:lvl w:ilvl="0" w:tentative="0">
      <w:start w:val="1"/>
      <w:numFmt w:val="decimal"/>
      <w:pStyle w:val="47"/>
      <w:lvlText w:val="Fig. %1."/>
      <w:lvlJc w:val="left"/>
      <w:pPr>
        <w:ind w:left="360" w:hanging="360"/>
      </w:pPr>
      <w:rPr>
        <w:rFonts w:hint="default" w:ascii="Junicode" w:hAnsi="Junicode" w:cs="Times New Roman"/>
        <w:b/>
        <w:bCs w:val="0"/>
        <w:i w:val="0"/>
        <w:iCs w:val="0"/>
        <w:caps w:val="0"/>
        <w:vanish w:val="0"/>
        <w:color w:val="auto"/>
        <w:sz w:val="20"/>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0000000B"/>
    <w:multiLevelType w:val="multilevel"/>
    <w:tmpl w:val="0000000B"/>
    <w:lvl w:ilvl="0" w:tentative="0">
      <w:start w:val="1"/>
      <w:numFmt w:val="bullet"/>
      <w:pStyle w:val="4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000000E"/>
    <w:multiLevelType w:val="multilevel"/>
    <w:tmpl w:val="0000000E"/>
    <w:lvl w:ilvl="0" w:tentative="0">
      <w:start w:val="1"/>
      <w:numFmt w:val="decimal"/>
      <w:pStyle w:val="2"/>
      <w:lvlText w:val="%1."/>
      <w:lvlJc w:val="left"/>
      <w:pPr>
        <w:ind w:left="360" w:hanging="360"/>
      </w:pPr>
      <w:rPr>
        <w:rFonts w:hint="default"/>
        <w:caps w:val="0"/>
        <w:vanish w:val="0"/>
        <w:color w:val="auto"/>
        <w:sz w:val="24"/>
        <w:szCs w:val="20"/>
        <w:vertAlign w:val="baseline"/>
      </w:rPr>
    </w:lvl>
    <w:lvl w:ilvl="1" w:tentative="0">
      <w:start w:val="1"/>
      <w:numFmt w:val="upperLetter"/>
      <w:lvlText w:val="%2."/>
      <w:lvlJc w:val="left"/>
      <w:pPr>
        <w:tabs>
          <w:tab w:val="left" w:pos="360"/>
        </w:tabs>
        <w:ind w:left="288" w:hanging="288"/>
      </w:pPr>
      <w:rPr>
        <w:rFonts w:hint="default" w:ascii="Times New Roman" w:hAnsi="Times New Roman" w:cs="Times New Roman"/>
        <w:b w:val="0"/>
        <w:bCs w:val="0"/>
        <w:i/>
        <w:iCs/>
        <w:caps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4">
    <w:nsid w:val="0000001A"/>
    <w:multiLevelType w:val="multilevel"/>
    <w:tmpl w:val="0000001A"/>
    <w:lvl w:ilvl="0" w:tentative="0">
      <w:start w:val="1"/>
      <w:numFmt w:val="lowerLetter"/>
      <w:pStyle w:val="51"/>
      <w:lvlText w:val="%1."/>
      <w:lvlJc w:val="right"/>
      <w:pPr>
        <w:ind w:left="749" w:hanging="360"/>
      </w:pPr>
      <w:rPr>
        <w:rFonts w:hint="default" w:ascii="Times New Roman" w:hAnsi="Times New Roman"/>
        <w:b w:val="0"/>
        <w:i w:val="0"/>
        <w:caps w:val="0"/>
        <w:vanish w:val="0"/>
        <w:color w:val="auto"/>
        <w:spacing w:val="0"/>
        <w:w w:val="100"/>
        <w:kern w:val="0"/>
        <w:position w:val="0"/>
        <w:sz w:val="16"/>
        <w:vertAlign w:val="superscript"/>
      </w:rPr>
    </w:lvl>
    <w:lvl w:ilvl="1" w:tentative="0">
      <w:start w:val="1"/>
      <w:numFmt w:val="lowerLetter"/>
      <w:lvlText w:val="%2."/>
      <w:lvlJc w:val="left"/>
      <w:pPr>
        <w:ind w:left="1469" w:hanging="360"/>
      </w:pPr>
    </w:lvl>
    <w:lvl w:ilvl="2" w:tentative="0">
      <w:start w:val="1"/>
      <w:numFmt w:val="lowerRoman"/>
      <w:lvlText w:val="%3."/>
      <w:lvlJc w:val="right"/>
      <w:pPr>
        <w:ind w:left="2189" w:hanging="180"/>
      </w:pPr>
    </w:lvl>
    <w:lvl w:ilvl="3" w:tentative="0">
      <w:start w:val="1"/>
      <w:numFmt w:val="decimal"/>
      <w:lvlText w:val="%4."/>
      <w:lvlJc w:val="left"/>
      <w:pPr>
        <w:ind w:left="2909" w:hanging="360"/>
      </w:pPr>
    </w:lvl>
    <w:lvl w:ilvl="4" w:tentative="0">
      <w:start w:val="1"/>
      <w:numFmt w:val="lowerLetter"/>
      <w:lvlText w:val="%5."/>
      <w:lvlJc w:val="left"/>
      <w:pPr>
        <w:ind w:left="3629" w:hanging="360"/>
      </w:pPr>
    </w:lvl>
    <w:lvl w:ilvl="5" w:tentative="0">
      <w:start w:val="1"/>
      <w:numFmt w:val="lowerRoman"/>
      <w:lvlText w:val="%6."/>
      <w:lvlJc w:val="right"/>
      <w:pPr>
        <w:ind w:left="4349" w:hanging="180"/>
      </w:pPr>
    </w:lvl>
    <w:lvl w:ilvl="6" w:tentative="0">
      <w:start w:val="1"/>
      <w:numFmt w:val="decimal"/>
      <w:lvlText w:val="%7."/>
      <w:lvlJc w:val="left"/>
      <w:pPr>
        <w:ind w:left="5069" w:hanging="360"/>
      </w:pPr>
    </w:lvl>
    <w:lvl w:ilvl="7" w:tentative="0">
      <w:start w:val="1"/>
      <w:numFmt w:val="lowerLetter"/>
      <w:lvlText w:val="%8."/>
      <w:lvlJc w:val="left"/>
      <w:pPr>
        <w:ind w:left="5789" w:hanging="360"/>
      </w:pPr>
    </w:lvl>
    <w:lvl w:ilvl="8" w:tentative="0">
      <w:start w:val="1"/>
      <w:numFmt w:val="lowerRoman"/>
      <w:lvlText w:val="%9."/>
      <w:lvlJc w:val="right"/>
      <w:pPr>
        <w:ind w:left="6509" w:hanging="180"/>
      </w:pPr>
    </w:lvl>
  </w:abstractNum>
  <w:abstractNum w:abstractNumId="5">
    <w:nsid w:val="7F996465"/>
    <w:multiLevelType w:val="multilevel"/>
    <w:tmpl w:val="7F99646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wNDI2NjC2MLI0NzRV0lEKTi0uzszPAykwrgUA84qoUCwAAAA="/>
  </w:docVars>
  <w:rsids>
    <w:rsidRoot w:val="0095540C"/>
    <w:rsid w:val="0000110A"/>
    <w:rsid w:val="00001264"/>
    <w:rsid w:val="000034DE"/>
    <w:rsid w:val="00005745"/>
    <w:rsid w:val="0000582D"/>
    <w:rsid w:val="0001243B"/>
    <w:rsid w:val="00012BB2"/>
    <w:rsid w:val="0001758F"/>
    <w:rsid w:val="00017978"/>
    <w:rsid w:val="00021A4F"/>
    <w:rsid w:val="000253AF"/>
    <w:rsid w:val="00025BE8"/>
    <w:rsid w:val="00026485"/>
    <w:rsid w:val="00026CA0"/>
    <w:rsid w:val="0003023A"/>
    <w:rsid w:val="00030F0C"/>
    <w:rsid w:val="00034ACB"/>
    <w:rsid w:val="000428D7"/>
    <w:rsid w:val="000438FC"/>
    <w:rsid w:val="000442ED"/>
    <w:rsid w:val="00045817"/>
    <w:rsid w:val="000513E0"/>
    <w:rsid w:val="00052526"/>
    <w:rsid w:val="00053004"/>
    <w:rsid w:val="00054948"/>
    <w:rsid w:val="00057222"/>
    <w:rsid w:val="000578D9"/>
    <w:rsid w:val="00057F1D"/>
    <w:rsid w:val="00060B2C"/>
    <w:rsid w:val="00061292"/>
    <w:rsid w:val="0006292E"/>
    <w:rsid w:val="00062DB1"/>
    <w:rsid w:val="00070897"/>
    <w:rsid w:val="000708F6"/>
    <w:rsid w:val="000737FD"/>
    <w:rsid w:val="00075130"/>
    <w:rsid w:val="0008026D"/>
    <w:rsid w:val="0008304D"/>
    <w:rsid w:val="0008309F"/>
    <w:rsid w:val="00083DA8"/>
    <w:rsid w:val="000868C1"/>
    <w:rsid w:val="00087265"/>
    <w:rsid w:val="00092AEA"/>
    <w:rsid w:val="000936C8"/>
    <w:rsid w:val="00093B29"/>
    <w:rsid w:val="0009631F"/>
    <w:rsid w:val="00096D15"/>
    <w:rsid w:val="000A0110"/>
    <w:rsid w:val="000A1F76"/>
    <w:rsid w:val="000A1F83"/>
    <w:rsid w:val="000A2B30"/>
    <w:rsid w:val="000A2E8F"/>
    <w:rsid w:val="000A5CFF"/>
    <w:rsid w:val="000A60AA"/>
    <w:rsid w:val="000B168E"/>
    <w:rsid w:val="000B2089"/>
    <w:rsid w:val="000B6139"/>
    <w:rsid w:val="000B69BB"/>
    <w:rsid w:val="000B7BB5"/>
    <w:rsid w:val="000C0457"/>
    <w:rsid w:val="000C2545"/>
    <w:rsid w:val="000C4C31"/>
    <w:rsid w:val="000C7986"/>
    <w:rsid w:val="000D2299"/>
    <w:rsid w:val="000D7566"/>
    <w:rsid w:val="000E3ADC"/>
    <w:rsid w:val="000E5C32"/>
    <w:rsid w:val="000E72AE"/>
    <w:rsid w:val="000F290C"/>
    <w:rsid w:val="001049EF"/>
    <w:rsid w:val="00105BC7"/>
    <w:rsid w:val="0010621B"/>
    <w:rsid w:val="001079D4"/>
    <w:rsid w:val="00115137"/>
    <w:rsid w:val="0012259E"/>
    <w:rsid w:val="00127D36"/>
    <w:rsid w:val="00130ACE"/>
    <w:rsid w:val="00130C53"/>
    <w:rsid w:val="0013766A"/>
    <w:rsid w:val="0013767C"/>
    <w:rsid w:val="0014470F"/>
    <w:rsid w:val="0015411C"/>
    <w:rsid w:val="00154992"/>
    <w:rsid w:val="00154D36"/>
    <w:rsid w:val="00155CDF"/>
    <w:rsid w:val="00156507"/>
    <w:rsid w:val="00164B82"/>
    <w:rsid w:val="00167C70"/>
    <w:rsid w:val="0017021B"/>
    <w:rsid w:val="00171709"/>
    <w:rsid w:val="00171D7F"/>
    <w:rsid w:val="00174679"/>
    <w:rsid w:val="00174F9D"/>
    <w:rsid w:val="001751DC"/>
    <w:rsid w:val="00176B8B"/>
    <w:rsid w:val="00177A1C"/>
    <w:rsid w:val="00181604"/>
    <w:rsid w:val="001817C0"/>
    <w:rsid w:val="00184F67"/>
    <w:rsid w:val="0018628A"/>
    <w:rsid w:val="00187E64"/>
    <w:rsid w:val="00190FE3"/>
    <w:rsid w:val="001949E4"/>
    <w:rsid w:val="00196FC9"/>
    <w:rsid w:val="00197171"/>
    <w:rsid w:val="001A2BF7"/>
    <w:rsid w:val="001A2DF6"/>
    <w:rsid w:val="001B3476"/>
    <w:rsid w:val="001B4CE6"/>
    <w:rsid w:val="001C294E"/>
    <w:rsid w:val="001C2FC8"/>
    <w:rsid w:val="001C452A"/>
    <w:rsid w:val="001E10DD"/>
    <w:rsid w:val="001E159F"/>
    <w:rsid w:val="001E4FC9"/>
    <w:rsid w:val="001E5AB5"/>
    <w:rsid w:val="001F0399"/>
    <w:rsid w:val="001F4056"/>
    <w:rsid w:val="001F657F"/>
    <w:rsid w:val="0020191C"/>
    <w:rsid w:val="00203A25"/>
    <w:rsid w:val="00203EB8"/>
    <w:rsid w:val="00205877"/>
    <w:rsid w:val="00205C0C"/>
    <w:rsid w:val="00214A77"/>
    <w:rsid w:val="0021644C"/>
    <w:rsid w:val="002167D1"/>
    <w:rsid w:val="00221D1E"/>
    <w:rsid w:val="00221FE8"/>
    <w:rsid w:val="002221A3"/>
    <w:rsid w:val="00224DE1"/>
    <w:rsid w:val="00225E4F"/>
    <w:rsid w:val="00227325"/>
    <w:rsid w:val="0022783E"/>
    <w:rsid w:val="002346CD"/>
    <w:rsid w:val="00234D36"/>
    <w:rsid w:val="00235341"/>
    <w:rsid w:val="00240848"/>
    <w:rsid w:val="00243F18"/>
    <w:rsid w:val="002447F9"/>
    <w:rsid w:val="00245CA4"/>
    <w:rsid w:val="00251570"/>
    <w:rsid w:val="00252AC6"/>
    <w:rsid w:val="002618BD"/>
    <w:rsid w:val="00272EEA"/>
    <w:rsid w:val="00276B0E"/>
    <w:rsid w:val="00281550"/>
    <w:rsid w:val="00281D47"/>
    <w:rsid w:val="00292D87"/>
    <w:rsid w:val="00297658"/>
    <w:rsid w:val="00297F14"/>
    <w:rsid w:val="002A4E12"/>
    <w:rsid w:val="002A6611"/>
    <w:rsid w:val="002A7F6E"/>
    <w:rsid w:val="002B000D"/>
    <w:rsid w:val="002B1790"/>
    <w:rsid w:val="002B7344"/>
    <w:rsid w:val="002C3460"/>
    <w:rsid w:val="002C6A60"/>
    <w:rsid w:val="002D296A"/>
    <w:rsid w:val="002D2D1B"/>
    <w:rsid w:val="002D31D4"/>
    <w:rsid w:val="002D381C"/>
    <w:rsid w:val="002D3D4B"/>
    <w:rsid w:val="002D57BE"/>
    <w:rsid w:val="002D5F4E"/>
    <w:rsid w:val="002D6F53"/>
    <w:rsid w:val="002E1795"/>
    <w:rsid w:val="002E1861"/>
    <w:rsid w:val="002E33B1"/>
    <w:rsid w:val="002F0918"/>
    <w:rsid w:val="002F384B"/>
    <w:rsid w:val="00302025"/>
    <w:rsid w:val="003053D7"/>
    <w:rsid w:val="0030605D"/>
    <w:rsid w:val="0031035C"/>
    <w:rsid w:val="00317D71"/>
    <w:rsid w:val="00321614"/>
    <w:rsid w:val="00321DE9"/>
    <w:rsid w:val="0032278A"/>
    <w:rsid w:val="00327696"/>
    <w:rsid w:val="003320C6"/>
    <w:rsid w:val="00332D2B"/>
    <w:rsid w:val="00335A59"/>
    <w:rsid w:val="0035186D"/>
    <w:rsid w:val="00351FCD"/>
    <w:rsid w:val="003573DE"/>
    <w:rsid w:val="00357FAE"/>
    <w:rsid w:val="00362DBD"/>
    <w:rsid w:val="00367881"/>
    <w:rsid w:val="003709FE"/>
    <w:rsid w:val="00371EC6"/>
    <w:rsid w:val="00374431"/>
    <w:rsid w:val="0038072F"/>
    <w:rsid w:val="00381D36"/>
    <w:rsid w:val="00382008"/>
    <w:rsid w:val="00390890"/>
    <w:rsid w:val="0039178A"/>
    <w:rsid w:val="003979E5"/>
    <w:rsid w:val="003A0B04"/>
    <w:rsid w:val="003A33B2"/>
    <w:rsid w:val="003A746C"/>
    <w:rsid w:val="003B6286"/>
    <w:rsid w:val="003B62E4"/>
    <w:rsid w:val="003B7711"/>
    <w:rsid w:val="003C1CB9"/>
    <w:rsid w:val="003C51D1"/>
    <w:rsid w:val="003C649C"/>
    <w:rsid w:val="003C7111"/>
    <w:rsid w:val="003D1E67"/>
    <w:rsid w:val="003E00B9"/>
    <w:rsid w:val="003E04D6"/>
    <w:rsid w:val="003E0790"/>
    <w:rsid w:val="003E0D5C"/>
    <w:rsid w:val="003E51D0"/>
    <w:rsid w:val="003E79A2"/>
    <w:rsid w:val="003F253E"/>
    <w:rsid w:val="003F3306"/>
    <w:rsid w:val="003F3A6E"/>
    <w:rsid w:val="003F79B6"/>
    <w:rsid w:val="00406040"/>
    <w:rsid w:val="00406EAF"/>
    <w:rsid w:val="0041173C"/>
    <w:rsid w:val="00412A29"/>
    <w:rsid w:val="0041352D"/>
    <w:rsid w:val="00415D35"/>
    <w:rsid w:val="0042216A"/>
    <w:rsid w:val="0042485A"/>
    <w:rsid w:val="00425B36"/>
    <w:rsid w:val="00434804"/>
    <w:rsid w:val="004425A7"/>
    <w:rsid w:val="004536C8"/>
    <w:rsid w:val="004625D7"/>
    <w:rsid w:val="0046500C"/>
    <w:rsid w:val="00471386"/>
    <w:rsid w:val="00471CF2"/>
    <w:rsid w:val="00472DFB"/>
    <w:rsid w:val="00475038"/>
    <w:rsid w:val="004762ED"/>
    <w:rsid w:val="00477789"/>
    <w:rsid w:val="004779C9"/>
    <w:rsid w:val="0048306A"/>
    <w:rsid w:val="0048489D"/>
    <w:rsid w:val="004911F3"/>
    <w:rsid w:val="00491A58"/>
    <w:rsid w:val="0049298A"/>
    <w:rsid w:val="00492F92"/>
    <w:rsid w:val="00496851"/>
    <w:rsid w:val="004A0C24"/>
    <w:rsid w:val="004A15BC"/>
    <w:rsid w:val="004A3916"/>
    <w:rsid w:val="004A7DD1"/>
    <w:rsid w:val="004B1CAF"/>
    <w:rsid w:val="004B20FB"/>
    <w:rsid w:val="004B3931"/>
    <w:rsid w:val="004B4EA8"/>
    <w:rsid w:val="004C0CFC"/>
    <w:rsid w:val="004C1239"/>
    <w:rsid w:val="004C2F15"/>
    <w:rsid w:val="004C60D9"/>
    <w:rsid w:val="004D4F92"/>
    <w:rsid w:val="004D7CC2"/>
    <w:rsid w:val="004E5D12"/>
    <w:rsid w:val="00500A44"/>
    <w:rsid w:val="00501883"/>
    <w:rsid w:val="0050409E"/>
    <w:rsid w:val="00505CFC"/>
    <w:rsid w:val="00505FF0"/>
    <w:rsid w:val="005070C8"/>
    <w:rsid w:val="00511DC5"/>
    <w:rsid w:val="005144E1"/>
    <w:rsid w:val="00514985"/>
    <w:rsid w:val="00522A3E"/>
    <w:rsid w:val="005237A3"/>
    <w:rsid w:val="005253A9"/>
    <w:rsid w:val="005346E4"/>
    <w:rsid w:val="005347AE"/>
    <w:rsid w:val="00535354"/>
    <w:rsid w:val="005419DC"/>
    <w:rsid w:val="0054684D"/>
    <w:rsid w:val="00547CAD"/>
    <w:rsid w:val="0055525C"/>
    <w:rsid w:val="005577E7"/>
    <w:rsid w:val="00560FBC"/>
    <w:rsid w:val="005627E1"/>
    <w:rsid w:val="00564888"/>
    <w:rsid w:val="00564E52"/>
    <w:rsid w:val="00565889"/>
    <w:rsid w:val="00567B3A"/>
    <w:rsid w:val="005800D3"/>
    <w:rsid w:val="005840FC"/>
    <w:rsid w:val="0058414C"/>
    <w:rsid w:val="00587527"/>
    <w:rsid w:val="00593346"/>
    <w:rsid w:val="005935FE"/>
    <w:rsid w:val="00596EA0"/>
    <w:rsid w:val="0059741D"/>
    <w:rsid w:val="005A0529"/>
    <w:rsid w:val="005A1B6C"/>
    <w:rsid w:val="005A72C9"/>
    <w:rsid w:val="005B019E"/>
    <w:rsid w:val="005B097C"/>
    <w:rsid w:val="005B2AB7"/>
    <w:rsid w:val="005B628E"/>
    <w:rsid w:val="005C6D18"/>
    <w:rsid w:val="005C718D"/>
    <w:rsid w:val="005D3696"/>
    <w:rsid w:val="005E301C"/>
    <w:rsid w:val="005E3822"/>
    <w:rsid w:val="005F0CA5"/>
    <w:rsid w:val="005F307B"/>
    <w:rsid w:val="005F6AC4"/>
    <w:rsid w:val="006060E9"/>
    <w:rsid w:val="0061062C"/>
    <w:rsid w:val="006116A6"/>
    <w:rsid w:val="00621CF8"/>
    <w:rsid w:val="00625E17"/>
    <w:rsid w:val="00625E69"/>
    <w:rsid w:val="00631B2A"/>
    <w:rsid w:val="00632988"/>
    <w:rsid w:val="00640BA1"/>
    <w:rsid w:val="00643240"/>
    <w:rsid w:val="006432A0"/>
    <w:rsid w:val="006458AA"/>
    <w:rsid w:val="00651DF6"/>
    <w:rsid w:val="00652464"/>
    <w:rsid w:val="00652549"/>
    <w:rsid w:val="00654ACF"/>
    <w:rsid w:val="00655BD4"/>
    <w:rsid w:val="006641A5"/>
    <w:rsid w:val="0066465F"/>
    <w:rsid w:val="006650DA"/>
    <w:rsid w:val="006654DD"/>
    <w:rsid w:val="006669CA"/>
    <w:rsid w:val="00667B80"/>
    <w:rsid w:val="006737B6"/>
    <w:rsid w:val="00673FA4"/>
    <w:rsid w:val="00675678"/>
    <w:rsid w:val="00677D0E"/>
    <w:rsid w:val="00681301"/>
    <w:rsid w:val="00683BBD"/>
    <w:rsid w:val="0068452C"/>
    <w:rsid w:val="00686394"/>
    <w:rsid w:val="00686DDE"/>
    <w:rsid w:val="00696801"/>
    <w:rsid w:val="00696E17"/>
    <w:rsid w:val="00696E5C"/>
    <w:rsid w:val="0069757D"/>
    <w:rsid w:val="00697ACE"/>
    <w:rsid w:val="00697FA8"/>
    <w:rsid w:val="006A287D"/>
    <w:rsid w:val="006A45A2"/>
    <w:rsid w:val="006A5E33"/>
    <w:rsid w:val="006A64E1"/>
    <w:rsid w:val="006A76FD"/>
    <w:rsid w:val="006B172B"/>
    <w:rsid w:val="006B2EC6"/>
    <w:rsid w:val="006C7C5C"/>
    <w:rsid w:val="006D09A8"/>
    <w:rsid w:val="006D1618"/>
    <w:rsid w:val="006D16FB"/>
    <w:rsid w:val="006D3E9B"/>
    <w:rsid w:val="006D5CA1"/>
    <w:rsid w:val="006D627A"/>
    <w:rsid w:val="006E1380"/>
    <w:rsid w:val="006E6EB4"/>
    <w:rsid w:val="006E711B"/>
    <w:rsid w:val="006F028C"/>
    <w:rsid w:val="006F3943"/>
    <w:rsid w:val="006F5A22"/>
    <w:rsid w:val="006F7569"/>
    <w:rsid w:val="00706D26"/>
    <w:rsid w:val="00706D8F"/>
    <w:rsid w:val="00711759"/>
    <w:rsid w:val="00712ECC"/>
    <w:rsid w:val="00713436"/>
    <w:rsid w:val="007202B7"/>
    <w:rsid w:val="0072344B"/>
    <w:rsid w:val="00723A5C"/>
    <w:rsid w:val="00730D6A"/>
    <w:rsid w:val="007314CC"/>
    <w:rsid w:val="00732122"/>
    <w:rsid w:val="0073370D"/>
    <w:rsid w:val="00743CE6"/>
    <w:rsid w:val="00744219"/>
    <w:rsid w:val="007445E4"/>
    <w:rsid w:val="00746EE8"/>
    <w:rsid w:val="00756023"/>
    <w:rsid w:val="0076124D"/>
    <w:rsid w:val="007616E5"/>
    <w:rsid w:val="00771263"/>
    <w:rsid w:val="00771762"/>
    <w:rsid w:val="00772EE2"/>
    <w:rsid w:val="007769F4"/>
    <w:rsid w:val="00781645"/>
    <w:rsid w:val="00781E4C"/>
    <w:rsid w:val="00782F8E"/>
    <w:rsid w:val="007832F0"/>
    <w:rsid w:val="007861CD"/>
    <w:rsid w:val="00790E3A"/>
    <w:rsid w:val="007914BC"/>
    <w:rsid w:val="00791FED"/>
    <w:rsid w:val="00792222"/>
    <w:rsid w:val="0079272A"/>
    <w:rsid w:val="00794BF0"/>
    <w:rsid w:val="00797314"/>
    <w:rsid w:val="007A4E6F"/>
    <w:rsid w:val="007B00B0"/>
    <w:rsid w:val="007B7762"/>
    <w:rsid w:val="007C2CEA"/>
    <w:rsid w:val="007C76B1"/>
    <w:rsid w:val="007D0B98"/>
    <w:rsid w:val="007D1E01"/>
    <w:rsid w:val="007D25F9"/>
    <w:rsid w:val="007E40A6"/>
    <w:rsid w:val="007E65DD"/>
    <w:rsid w:val="007E6D78"/>
    <w:rsid w:val="007E7796"/>
    <w:rsid w:val="00802B47"/>
    <w:rsid w:val="00810FE1"/>
    <w:rsid w:val="008126A7"/>
    <w:rsid w:val="00813E74"/>
    <w:rsid w:val="00815C74"/>
    <w:rsid w:val="0081616A"/>
    <w:rsid w:val="00817C06"/>
    <w:rsid w:val="00822254"/>
    <w:rsid w:val="008225EF"/>
    <w:rsid w:val="0082759B"/>
    <w:rsid w:val="00833974"/>
    <w:rsid w:val="008341B3"/>
    <w:rsid w:val="00843559"/>
    <w:rsid w:val="008437FE"/>
    <w:rsid w:val="008449AD"/>
    <w:rsid w:val="00846C07"/>
    <w:rsid w:val="00847F87"/>
    <w:rsid w:val="00850D30"/>
    <w:rsid w:val="008527FC"/>
    <w:rsid w:val="0085378C"/>
    <w:rsid w:val="00853EF5"/>
    <w:rsid w:val="00854E8D"/>
    <w:rsid w:val="008610D1"/>
    <w:rsid w:val="008652EC"/>
    <w:rsid w:val="00870BE3"/>
    <w:rsid w:val="00873B89"/>
    <w:rsid w:val="008745F6"/>
    <w:rsid w:val="0087618E"/>
    <w:rsid w:val="00877D41"/>
    <w:rsid w:val="00880E56"/>
    <w:rsid w:val="00887004"/>
    <w:rsid w:val="00897956"/>
    <w:rsid w:val="008A0F06"/>
    <w:rsid w:val="008A478E"/>
    <w:rsid w:val="008B2A06"/>
    <w:rsid w:val="008B3DC2"/>
    <w:rsid w:val="008B4882"/>
    <w:rsid w:val="008B54E1"/>
    <w:rsid w:val="008B5D01"/>
    <w:rsid w:val="008C274F"/>
    <w:rsid w:val="008C36A4"/>
    <w:rsid w:val="008C704C"/>
    <w:rsid w:val="008D2C9A"/>
    <w:rsid w:val="008D3212"/>
    <w:rsid w:val="008D3740"/>
    <w:rsid w:val="008D4432"/>
    <w:rsid w:val="008D4592"/>
    <w:rsid w:val="008D780A"/>
    <w:rsid w:val="008D7F4C"/>
    <w:rsid w:val="008E036F"/>
    <w:rsid w:val="008E1470"/>
    <w:rsid w:val="008E216E"/>
    <w:rsid w:val="008E38F1"/>
    <w:rsid w:val="008E465A"/>
    <w:rsid w:val="008E47C5"/>
    <w:rsid w:val="008E640E"/>
    <w:rsid w:val="008E669F"/>
    <w:rsid w:val="008F3705"/>
    <w:rsid w:val="008F7A75"/>
    <w:rsid w:val="00902C5E"/>
    <w:rsid w:val="0090663B"/>
    <w:rsid w:val="00915BC4"/>
    <w:rsid w:val="00915C2B"/>
    <w:rsid w:val="009264B6"/>
    <w:rsid w:val="00933B12"/>
    <w:rsid w:val="009415BE"/>
    <w:rsid w:val="009440C2"/>
    <w:rsid w:val="00950DFE"/>
    <w:rsid w:val="009541AC"/>
    <w:rsid w:val="00954ACA"/>
    <w:rsid w:val="0095540C"/>
    <w:rsid w:val="00955D2E"/>
    <w:rsid w:val="00956797"/>
    <w:rsid w:val="00957008"/>
    <w:rsid w:val="0096134B"/>
    <w:rsid w:val="00961DC5"/>
    <w:rsid w:val="00963435"/>
    <w:rsid w:val="0098051C"/>
    <w:rsid w:val="00981C03"/>
    <w:rsid w:val="009841B0"/>
    <w:rsid w:val="00984EAE"/>
    <w:rsid w:val="00987C1C"/>
    <w:rsid w:val="009916AA"/>
    <w:rsid w:val="0099619B"/>
    <w:rsid w:val="009A23FF"/>
    <w:rsid w:val="009A6509"/>
    <w:rsid w:val="009A7CA4"/>
    <w:rsid w:val="009B375F"/>
    <w:rsid w:val="009B4F57"/>
    <w:rsid w:val="009B68A2"/>
    <w:rsid w:val="009C032B"/>
    <w:rsid w:val="009C3AB7"/>
    <w:rsid w:val="009C71D4"/>
    <w:rsid w:val="009D76DA"/>
    <w:rsid w:val="009D7C3E"/>
    <w:rsid w:val="009E19BE"/>
    <w:rsid w:val="009E73BE"/>
    <w:rsid w:val="009E7A04"/>
    <w:rsid w:val="009F2C41"/>
    <w:rsid w:val="009F78E4"/>
    <w:rsid w:val="00A00739"/>
    <w:rsid w:val="00A018E0"/>
    <w:rsid w:val="00A01A39"/>
    <w:rsid w:val="00A03027"/>
    <w:rsid w:val="00A05642"/>
    <w:rsid w:val="00A05DED"/>
    <w:rsid w:val="00A11790"/>
    <w:rsid w:val="00A13F15"/>
    <w:rsid w:val="00A23274"/>
    <w:rsid w:val="00A23C37"/>
    <w:rsid w:val="00A2417D"/>
    <w:rsid w:val="00A31399"/>
    <w:rsid w:val="00A327D4"/>
    <w:rsid w:val="00A33C0D"/>
    <w:rsid w:val="00A371F7"/>
    <w:rsid w:val="00A40ABA"/>
    <w:rsid w:val="00A40CBD"/>
    <w:rsid w:val="00A40D55"/>
    <w:rsid w:val="00A44167"/>
    <w:rsid w:val="00A475F2"/>
    <w:rsid w:val="00A50EB8"/>
    <w:rsid w:val="00A5526D"/>
    <w:rsid w:val="00A564E5"/>
    <w:rsid w:val="00A6132D"/>
    <w:rsid w:val="00A62C69"/>
    <w:rsid w:val="00A64865"/>
    <w:rsid w:val="00A705BE"/>
    <w:rsid w:val="00A72153"/>
    <w:rsid w:val="00A72F7D"/>
    <w:rsid w:val="00A739B8"/>
    <w:rsid w:val="00A741C7"/>
    <w:rsid w:val="00A76B12"/>
    <w:rsid w:val="00A81483"/>
    <w:rsid w:val="00A81B9D"/>
    <w:rsid w:val="00A87281"/>
    <w:rsid w:val="00A93B4D"/>
    <w:rsid w:val="00AA53B6"/>
    <w:rsid w:val="00AA5FA7"/>
    <w:rsid w:val="00AB0092"/>
    <w:rsid w:val="00AB0DA0"/>
    <w:rsid w:val="00AB1869"/>
    <w:rsid w:val="00AB4736"/>
    <w:rsid w:val="00AC1380"/>
    <w:rsid w:val="00AC428F"/>
    <w:rsid w:val="00AD1530"/>
    <w:rsid w:val="00AD2E91"/>
    <w:rsid w:val="00AD7C55"/>
    <w:rsid w:val="00AE3EC4"/>
    <w:rsid w:val="00AE462C"/>
    <w:rsid w:val="00AE5C7E"/>
    <w:rsid w:val="00AF3295"/>
    <w:rsid w:val="00AF332F"/>
    <w:rsid w:val="00AF3838"/>
    <w:rsid w:val="00AF3AF0"/>
    <w:rsid w:val="00AF3DDB"/>
    <w:rsid w:val="00B001C0"/>
    <w:rsid w:val="00B008ED"/>
    <w:rsid w:val="00B10836"/>
    <w:rsid w:val="00B118CC"/>
    <w:rsid w:val="00B15E4B"/>
    <w:rsid w:val="00B163FB"/>
    <w:rsid w:val="00B214A1"/>
    <w:rsid w:val="00B2258A"/>
    <w:rsid w:val="00B26561"/>
    <w:rsid w:val="00B26B57"/>
    <w:rsid w:val="00B30C68"/>
    <w:rsid w:val="00B33CB2"/>
    <w:rsid w:val="00B4408A"/>
    <w:rsid w:val="00B47738"/>
    <w:rsid w:val="00B4780C"/>
    <w:rsid w:val="00B51891"/>
    <w:rsid w:val="00B57A93"/>
    <w:rsid w:val="00B610D6"/>
    <w:rsid w:val="00B62ACE"/>
    <w:rsid w:val="00B63A20"/>
    <w:rsid w:val="00B63AD0"/>
    <w:rsid w:val="00B66933"/>
    <w:rsid w:val="00B701EA"/>
    <w:rsid w:val="00B708F3"/>
    <w:rsid w:val="00B72ACD"/>
    <w:rsid w:val="00B73656"/>
    <w:rsid w:val="00B73E2F"/>
    <w:rsid w:val="00B74D13"/>
    <w:rsid w:val="00B85039"/>
    <w:rsid w:val="00B92F2E"/>
    <w:rsid w:val="00B94D36"/>
    <w:rsid w:val="00B96DB8"/>
    <w:rsid w:val="00BA19C8"/>
    <w:rsid w:val="00BA47FB"/>
    <w:rsid w:val="00BB3212"/>
    <w:rsid w:val="00BB7415"/>
    <w:rsid w:val="00BB79E8"/>
    <w:rsid w:val="00BC335D"/>
    <w:rsid w:val="00BC52C3"/>
    <w:rsid w:val="00BC7D97"/>
    <w:rsid w:val="00BD1CD7"/>
    <w:rsid w:val="00BD2C18"/>
    <w:rsid w:val="00BD68D8"/>
    <w:rsid w:val="00BD7066"/>
    <w:rsid w:val="00BD7654"/>
    <w:rsid w:val="00BE1D04"/>
    <w:rsid w:val="00BE2E17"/>
    <w:rsid w:val="00BE3B4B"/>
    <w:rsid w:val="00BE5670"/>
    <w:rsid w:val="00BE73C3"/>
    <w:rsid w:val="00BF10B6"/>
    <w:rsid w:val="00BF2A07"/>
    <w:rsid w:val="00BF3D0E"/>
    <w:rsid w:val="00BF3D95"/>
    <w:rsid w:val="00C0278B"/>
    <w:rsid w:val="00C02D27"/>
    <w:rsid w:val="00C02E63"/>
    <w:rsid w:val="00C04F8F"/>
    <w:rsid w:val="00C13EE1"/>
    <w:rsid w:val="00C14FC7"/>
    <w:rsid w:val="00C16682"/>
    <w:rsid w:val="00C17E23"/>
    <w:rsid w:val="00C20FE9"/>
    <w:rsid w:val="00C22E32"/>
    <w:rsid w:val="00C23546"/>
    <w:rsid w:val="00C3722B"/>
    <w:rsid w:val="00C401DE"/>
    <w:rsid w:val="00C40C15"/>
    <w:rsid w:val="00C40CAA"/>
    <w:rsid w:val="00C44AED"/>
    <w:rsid w:val="00C46EA2"/>
    <w:rsid w:val="00C47084"/>
    <w:rsid w:val="00C47FE4"/>
    <w:rsid w:val="00C514BD"/>
    <w:rsid w:val="00C514E8"/>
    <w:rsid w:val="00C616CA"/>
    <w:rsid w:val="00C6282B"/>
    <w:rsid w:val="00C71B2D"/>
    <w:rsid w:val="00C73427"/>
    <w:rsid w:val="00C74259"/>
    <w:rsid w:val="00C834B9"/>
    <w:rsid w:val="00C847FC"/>
    <w:rsid w:val="00C8693A"/>
    <w:rsid w:val="00C86CE9"/>
    <w:rsid w:val="00C94289"/>
    <w:rsid w:val="00CA18AF"/>
    <w:rsid w:val="00CA6DA4"/>
    <w:rsid w:val="00CA6FCA"/>
    <w:rsid w:val="00CA73B7"/>
    <w:rsid w:val="00CB405D"/>
    <w:rsid w:val="00CB594D"/>
    <w:rsid w:val="00CC3E5B"/>
    <w:rsid w:val="00CC60EA"/>
    <w:rsid w:val="00CC72B8"/>
    <w:rsid w:val="00CD15FA"/>
    <w:rsid w:val="00CD5F4C"/>
    <w:rsid w:val="00CE441C"/>
    <w:rsid w:val="00CE4C4B"/>
    <w:rsid w:val="00CE528C"/>
    <w:rsid w:val="00CE6C0B"/>
    <w:rsid w:val="00CF4DD1"/>
    <w:rsid w:val="00D00737"/>
    <w:rsid w:val="00D02E97"/>
    <w:rsid w:val="00D07279"/>
    <w:rsid w:val="00D10798"/>
    <w:rsid w:val="00D1280B"/>
    <w:rsid w:val="00D13C9C"/>
    <w:rsid w:val="00D1471E"/>
    <w:rsid w:val="00D16659"/>
    <w:rsid w:val="00D16B58"/>
    <w:rsid w:val="00D27B44"/>
    <w:rsid w:val="00D338F6"/>
    <w:rsid w:val="00D40444"/>
    <w:rsid w:val="00D408B1"/>
    <w:rsid w:val="00D428B1"/>
    <w:rsid w:val="00D43F8D"/>
    <w:rsid w:val="00D44606"/>
    <w:rsid w:val="00D459E4"/>
    <w:rsid w:val="00D57D17"/>
    <w:rsid w:val="00D60BC5"/>
    <w:rsid w:val="00D61C74"/>
    <w:rsid w:val="00D64D28"/>
    <w:rsid w:val="00D6524F"/>
    <w:rsid w:val="00D67D9F"/>
    <w:rsid w:val="00D70943"/>
    <w:rsid w:val="00D70C92"/>
    <w:rsid w:val="00D7334D"/>
    <w:rsid w:val="00D73C40"/>
    <w:rsid w:val="00D74739"/>
    <w:rsid w:val="00D75934"/>
    <w:rsid w:val="00D76071"/>
    <w:rsid w:val="00D80DF7"/>
    <w:rsid w:val="00D825DF"/>
    <w:rsid w:val="00D82CBF"/>
    <w:rsid w:val="00D8436B"/>
    <w:rsid w:val="00D87C8E"/>
    <w:rsid w:val="00D914EC"/>
    <w:rsid w:val="00D91F7A"/>
    <w:rsid w:val="00D93526"/>
    <w:rsid w:val="00D94CE6"/>
    <w:rsid w:val="00DA00F9"/>
    <w:rsid w:val="00DA07CA"/>
    <w:rsid w:val="00DA0FD2"/>
    <w:rsid w:val="00DA58C6"/>
    <w:rsid w:val="00DA5C1B"/>
    <w:rsid w:val="00DB3746"/>
    <w:rsid w:val="00DB4D32"/>
    <w:rsid w:val="00DB5CDC"/>
    <w:rsid w:val="00DC06DC"/>
    <w:rsid w:val="00DC18B6"/>
    <w:rsid w:val="00DC3CF0"/>
    <w:rsid w:val="00DC4859"/>
    <w:rsid w:val="00DD0599"/>
    <w:rsid w:val="00DD2BC0"/>
    <w:rsid w:val="00DD4BA7"/>
    <w:rsid w:val="00DD7AE7"/>
    <w:rsid w:val="00DE1AE0"/>
    <w:rsid w:val="00DE3833"/>
    <w:rsid w:val="00DE447F"/>
    <w:rsid w:val="00E00ABB"/>
    <w:rsid w:val="00E02561"/>
    <w:rsid w:val="00E0630C"/>
    <w:rsid w:val="00E06D0C"/>
    <w:rsid w:val="00E07D56"/>
    <w:rsid w:val="00E11E67"/>
    <w:rsid w:val="00E24538"/>
    <w:rsid w:val="00E275F4"/>
    <w:rsid w:val="00E30904"/>
    <w:rsid w:val="00E337D8"/>
    <w:rsid w:val="00E45C41"/>
    <w:rsid w:val="00E47ECD"/>
    <w:rsid w:val="00E5163C"/>
    <w:rsid w:val="00E51C93"/>
    <w:rsid w:val="00E52200"/>
    <w:rsid w:val="00E5346F"/>
    <w:rsid w:val="00E53DEA"/>
    <w:rsid w:val="00E54932"/>
    <w:rsid w:val="00E60040"/>
    <w:rsid w:val="00E614A6"/>
    <w:rsid w:val="00E625B1"/>
    <w:rsid w:val="00E64C26"/>
    <w:rsid w:val="00E67837"/>
    <w:rsid w:val="00E67D99"/>
    <w:rsid w:val="00E71FAE"/>
    <w:rsid w:val="00E761F4"/>
    <w:rsid w:val="00E774BF"/>
    <w:rsid w:val="00E82012"/>
    <w:rsid w:val="00E82D3D"/>
    <w:rsid w:val="00E84226"/>
    <w:rsid w:val="00E8702B"/>
    <w:rsid w:val="00E92BEA"/>
    <w:rsid w:val="00E92C2B"/>
    <w:rsid w:val="00EA0B7E"/>
    <w:rsid w:val="00EB6BCA"/>
    <w:rsid w:val="00EC5E25"/>
    <w:rsid w:val="00ED048D"/>
    <w:rsid w:val="00ED53BB"/>
    <w:rsid w:val="00EE3DFE"/>
    <w:rsid w:val="00EF159E"/>
    <w:rsid w:val="00EF4125"/>
    <w:rsid w:val="00EF492A"/>
    <w:rsid w:val="00EF4EFC"/>
    <w:rsid w:val="00EF52D6"/>
    <w:rsid w:val="00EF6E0B"/>
    <w:rsid w:val="00EF6E39"/>
    <w:rsid w:val="00EF7A5B"/>
    <w:rsid w:val="00F02DF1"/>
    <w:rsid w:val="00F04504"/>
    <w:rsid w:val="00F05893"/>
    <w:rsid w:val="00F067AB"/>
    <w:rsid w:val="00F147B9"/>
    <w:rsid w:val="00F23C1F"/>
    <w:rsid w:val="00F24366"/>
    <w:rsid w:val="00F25628"/>
    <w:rsid w:val="00F26679"/>
    <w:rsid w:val="00F26AF4"/>
    <w:rsid w:val="00F31C56"/>
    <w:rsid w:val="00F3388F"/>
    <w:rsid w:val="00F341C4"/>
    <w:rsid w:val="00F529CD"/>
    <w:rsid w:val="00F52BB0"/>
    <w:rsid w:val="00F571BC"/>
    <w:rsid w:val="00F57A3A"/>
    <w:rsid w:val="00F605CA"/>
    <w:rsid w:val="00F628FC"/>
    <w:rsid w:val="00F63265"/>
    <w:rsid w:val="00F7321C"/>
    <w:rsid w:val="00F8171E"/>
    <w:rsid w:val="00F82995"/>
    <w:rsid w:val="00F83AC6"/>
    <w:rsid w:val="00F84505"/>
    <w:rsid w:val="00F8501F"/>
    <w:rsid w:val="00F903A4"/>
    <w:rsid w:val="00FA169E"/>
    <w:rsid w:val="00FA5045"/>
    <w:rsid w:val="00FC0F73"/>
    <w:rsid w:val="00FC13F9"/>
    <w:rsid w:val="00FC1E88"/>
    <w:rsid w:val="00FC6C65"/>
    <w:rsid w:val="00FD6D98"/>
    <w:rsid w:val="00FE29F9"/>
    <w:rsid w:val="00FE57E5"/>
    <w:rsid w:val="00FF2505"/>
    <w:rsid w:val="00FF27EF"/>
    <w:rsid w:val="00FF5977"/>
    <w:rsid w:val="00FF6F9C"/>
    <w:rsid w:val="09A932F9"/>
    <w:rsid w:val="0A127AC2"/>
    <w:rsid w:val="1D7522E4"/>
    <w:rsid w:val="36946180"/>
    <w:rsid w:val="4B816DED"/>
    <w:rsid w:val="5BBD7EF8"/>
    <w:rsid w:val="716E2633"/>
    <w:rsid w:val="748436ED"/>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Mang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id-ID" w:eastAsia="id-ID" w:bidi="ar-SA"/>
    </w:rPr>
  </w:style>
  <w:style w:type="paragraph" w:styleId="2">
    <w:name w:val="heading 1"/>
    <w:basedOn w:val="1"/>
    <w:next w:val="1"/>
    <w:link w:val="29"/>
    <w:qFormat/>
    <w:uiPriority w:val="9"/>
    <w:pPr>
      <w:keepNext/>
      <w:keepLines/>
      <w:numPr>
        <w:ilvl w:val="0"/>
        <w:numId w:val="1"/>
      </w:numPr>
      <w:tabs>
        <w:tab w:val="left" w:pos="216"/>
      </w:tabs>
      <w:spacing w:before="360" w:after="80"/>
      <w:outlineLvl w:val="0"/>
    </w:pPr>
    <w:rPr>
      <w:rFonts w:eastAsia="MS Mincho"/>
      <w:b/>
      <w:szCs w:val="20"/>
    </w:rPr>
  </w:style>
  <w:style w:type="paragraph" w:styleId="3">
    <w:name w:val="heading 2"/>
    <w:basedOn w:val="1"/>
    <w:next w:val="1"/>
    <w:link w:val="93"/>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30"/>
    <w:unhideWhenUsed/>
    <w:qFormat/>
    <w:uiPriority w:val="9"/>
    <w:pPr>
      <w:numPr>
        <w:ilvl w:val="2"/>
        <w:numId w:val="1"/>
      </w:numPr>
      <w:spacing w:line="240" w:lineRule="exact"/>
      <w:ind w:firstLine="288"/>
      <w:jc w:val="both"/>
      <w:outlineLvl w:val="2"/>
    </w:pPr>
    <w:rPr>
      <w:rFonts w:eastAsia="MS Mincho"/>
      <w:i/>
      <w:iCs/>
      <w:sz w:val="20"/>
      <w:szCs w:val="20"/>
    </w:rPr>
  </w:style>
  <w:style w:type="paragraph" w:styleId="5">
    <w:name w:val="heading 4"/>
    <w:basedOn w:val="1"/>
    <w:next w:val="1"/>
    <w:link w:val="31"/>
    <w:unhideWhenUsed/>
    <w:qFormat/>
    <w:uiPriority w:val="9"/>
    <w:pPr>
      <w:numPr>
        <w:ilvl w:val="3"/>
        <w:numId w:val="1"/>
      </w:numPr>
      <w:tabs>
        <w:tab w:val="left" w:pos="821"/>
      </w:tabs>
      <w:spacing w:before="40" w:after="40"/>
      <w:ind w:firstLine="504"/>
      <w:jc w:val="both"/>
      <w:outlineLvl w:val="3"/>
    </w:pPr>
    <w:rPr>
      <w:rFonts w:eastAsia="MS Mincho"/>
      <w:i/>
      <w:iCs/>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54"/>
    <w:qFormat/>
    <w:uiPriority w:val="99"/>
    <w:rPr>
      <w:rFonts w:ascii="Tahoma" w:hAnsi="Tahoma" w:cs="Tahoma"/>
      <w:sz w:val="16"/>
      <w:szCs w:val="16"/>
    </w:rPr>
  </w:style>
  <w:style w:type="paragraph" w:styleId="9">
    <w:name w:val="Body Text"/>
    <w:basedOn w:val="1"/>
    <w:link w:val="45"/>
    <w:qFormat/>
    <w:uiPriority w:val="1"/>
    <w:pPr>
      <w:tabs>
        <w:tab w:val="left" w:pos="288"/>
      </w:tabs>
      <w:spacing w:after="120" w:line="228" w:lineRule="auto"/>
      <w:ind w:firstLine="288"/>
      <w:jc w:val="both"/>
    </w:pPr>
    <w:rPr>
      <w:rFonts w:eastAsia="MS Mincho"/>
      <w:spacing w:val="-1"/>
      <w:szCs w:val="20"/>
    </w:rPr>
  </w:style>
  <w:style w:type="paragraph" w:styleId="10">
    <w:name w:val="caption"/>
    <w:basedOn w:val="1"/>
    <w:next w:val="1"/>
    <w:qFormat/>
    <w:uiPriority w:val="35"/>
    <w:pPr>
      <w:spacing w:after="200"/>
    </w:pPr>
    <w:rPr>
      <w:b/>
      <w:bCs/>
      <w:color w:val="4F81BD"/>
      <w:sz w:val="18"/>
      <w:szCs w:val="18"/>
    </w:rPr>
  </w:style>
  <w:style w:type="character" w:styleId="11">
    <w:name w:val="annotation reference"/>
    <w:basedOn w:val="6"/>
    <w:qFormat/>
    <w:uiPriority w:val="99"/>
    <w:rPr>
      <w:sz w:val="16"/>
      <w:szCs w:val="16"/>
    </w:rPr>
  </w:style>
  <w:style w:type="paragraph" w:styleId="12">
    <w:name w:val="annotation text"/>
    <w:basedOn w:val="1"/>
    <w:link w:val="66"/>
    <w:qFormat/>
    <w:uiPriority w:val="99"/>
    <w:rPr>
      <w:sz w:val="20"/>
      <w:szCs w:val="20"/>
    </w:rPr>
  </w:style>
  <w:style w:type="paragraph" w:styleId="13">
    <w:name w:val="annotation subject"/>
    <w:basedOn w:val="12"/>
    <w:next w:val="12"/>
    <w:link w:val="67"/>
    <w:qFormat/>
    <w:uiPriority w:val="99"/>
    <w:rPr>
      <w:b/>
      <w:bCs/>
    </w:rPr>
  </w:style>
  <w:style w:type="character" w:styleId="14">
    <w:name w:val="Emphasis"/>
    <w:basedOn w:val="6"/>
    <w:qFormat/>
    <w:uiPriority w:val="20"/>
    <w:rPr>
      <w:i/>
      <w:iCs/>
    </w:rPr>
  </w:style>
  <w:style w:type="paragraph" w:styleId="15">
    <w:name w:val="endnote text"/>
    <w:basedOn w:val="1"/>
    <w:link w:val="85"/>
    <w:qFormat/>
    <w:uiPriority w:val="99"/>
    <w:rPr>
      <w:rFonts w:cs="Mangal"/>
      <w:sz w:val="20"/>
      <w:szCs w:val="20"/>
    </w:rPr>
  </w:style>
  <w:style w:type="character" w:styleId="16">
    <w:name w:val="FollowedHyperlink"/>
    <w:basedOn w:val="6"/>
    <w:qFormat/>
    <w:uiPriority w:val="99"/>
    <w:rPr>
      <w:color w:val="954F72"/>
      <w:u w:val="single"/>
    </w:rPr>
  </w:style>
  <w:style w:type="paragraph" w:styleId="17">
    <w:name w:val="footer"/>
    <w:basedOn w:val="1"/>
    <w:link w:val="44"/>
    <w:qFormat/>
    <w:uiPriority w:val="99"/>
    <w:pPr>
      <w:tabs>
        <w:tab w:val="center" w:pos="4513"/>
        <w:tab w:val="right" w:pos="9026"/>
      </w:tabs>
    </w:pPr>
  </w:style>
  <w:style w:type="character" w:styleId="18">
    <w:name w:val="footnote reference"/>
    <w:qFormat/>
    <w:uiPriority w:val="99"/>
    <w:rPr>
      <w:vertAlign w:val="superscript"/>
    </w:rPr>
  </w:style>
  <w:style w:type="paragraph" w:styleId="19">
    <w:name w:val="footnote text"/>
    <w:basedOn w:val="1"/>
    <w:link w:val="58"/>
    <w:qFormat/>
    <w:uiPriority w:val="99"/>
    <w:rPr>
      <w:rFonts w:eastAsia="SimSun" w:cs="Mangal"/>
      <w:sz w:val="20"/>
      <w:szCs w:val="20"/>
    </w:rPr>
  </w:style>
  <w:style w:type="paragraph" w:styleId="20">
    <w:name w:val="header"/>
    <w:basedOn w:val="1"/>
    <w:link w:val="43"/>
    <w:qFormat/>
    <w:uiPriority w:val="99"/>
    <w:pPr>
      <w:tabs>
        <w:tab w:val="center" w:pos="4513"/>
        <w:tab w:val="right" w:pos="9026"/>
      </w:tabs>
    </w:pPr>
  </w:style>
  <w:style w:type="paragraph" w:styleId="21">
    <w:name w:val="HTML Preformatted"/>
    <w:basedOn w:val="1"/>
    <w:link w:val="5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22">
    <w:name w:val="Hyperlink"/>
    <w:qFormat/>
    <w:uiPriority w:val="99"/>
    <w:rPr>
      <w:color w:val="0563C1"/>
      <w:u w:val="single"/>
    </w:rPr>
  </w:style>
  <w:style w:type="paragraph" w:styleId="23">
    <w:name w:val="Normal (Web)"/>
    <w:basedOn w:val="1"/>
    <w:qFormat/>
    <w:uiPriority w:val="99"/>
    <w:pPr>
      <w:spacing w:before="100" w:beforeAutospacing="1" w:after="100" w:afterAutospacing="1"/>
    </w:pPr>
  </w:style>
  <w:style w:type="character" w:styleId="24">
    <w:name w:val="Strong"/>
    <w:basedOn w:val="6"/>
    <w:qFormat/>
    <w:uiPriority w:val="22"/>
    <w:rPr>
      <w:b/>
      <w:bCs/>
    </w:rPr>
  </w:style>
  <w:style w:type="paragraph" w:styleId="25">
    <w:name w:val="Subtitle"/>
    <w:basedOn w:val="1"/>
    <w:next w:val="1"/>
    <w:link w:val="70"/>
    <w:qFormat/>
    <w:uiPriority w:val="11"/>
    <w:pPr>
      <w:spacing w:line="276" w:lineRule="auto"/>
    </w:pPr>
    <w:rPr>
      <w:rFonts w:cs="Mangal"/>
      <w:color w:val="5A5A5A"/>
      <w:spacing w:val="15"/>
    </w:rPr>
  </w:style>
  <w:style w:type="table" w:styleId="26">
    <w:name w:val="Table Grid"/>
    <w:basedOn w:val="7"/>
    <w:qFormat/>
    <w:uiPriority w:val="5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link w:val="112"/>
    <w:qFormat/>
    <w:uiPriority w:val="10"/>
    <w:pPr>
      <w:keepNext/>
      <w:keepLines/>
      <w:spacing w:before="480" w:after="120" w:line="276" w:lineRule="auto"/>
    </w:pPr>
    <w:rPr>
      <w:rFonts w:ascii="Arial" w:hAnsi="Arial" w:eastAsia="Arial" w:cs="Arial"/>
      <w:b/>
      <w:sz w:val="72"/>
      <w:szCs w:val="72"/>
      <w:lang w:val="zh-CN" w:eastAsia="zh-CN"/>
    </w:rPr>
  </w:style>
  <w:style w:type="table" w:styleId="28">
    <w:name w:val="Light Shading Accent 1"/>
    <w:basedOn w:val="7"/>
    <w:qFormat/>
    <w:uiPriority w:val="60"/>
    <w:pPr>
      <w:spacing w:after="0" w:line="240" w:lineRule="auto"/>
    </w:pPr>
    <w:rPr>
      <w:rFonts w:eastAsia="SimSun" w:cs="SimSun"/>
      <w:color w:val="2E74B5"/>
      <w:lang w:val="en-US"/>
    </w:rPr>
    <w:tblPr>
      <w:tblBorders>
        <w:top w:val="single" w:color="5B9BD5" w:sz="8" w:space="0"/>
        <w:bottom w:val="single" w:color="5B9BD5" w:sz="8" w:space="0"/>
      </w:tblBorders>
    </w:tblPr>
    <w:tblStylePr w:type="firstRow">
      <w:pPr>
        <w:spacing w:before="0" w:after="0" w:line="240" w:lineRule="auto"/>
      </w:pPr>
      <w:rPr>
        <w:b/>
        <w:bCs/>
      </w:rPr>
      <w:tblPr/>
      <w:tcPr>
        <w:tcBorders>
          <w:top w:val="single" w:color="5B9BD5" w:sz="8" w:space="0"/>
          <w:left w:val="nil"/>
          <w:bottom w:val="single" w:color="5B9BD5" w:sz="8" w:space="0"/>
          <w:right w:val="nil"/>
          <w:insideH w:val="nil"/>
          <w:insideV w:val="nil"/>
        </w:tcBorders>
      </w:tcPr>
    </w:tblStylePr>
    <w:tblStylePr w:type="lastRow">
      <w:pPr>
        <w:spacing w:before="0" w:after="0" w:line="240" w:lineRule="auto"/>
      </w:pPr>
      <w:rPr>
        <w:b/>
        <w:bCs/>
      </w:rPr>
      <w:tblPr/>
      <w:tcPr>
        <w:tcBorders>
          <w:top w:val="single" w:color="5B9BD5" w:sz="8" w:space="0"/>
          <w:left w:val="nil"/>
          <w:bottom w:val="single" w:color="5B9BD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29">
    <w:name w:val="Heading 1 Char"/>
    <w:basedOn w:val="6"/>
    <w:link w:val="2"/>
    <w:qFormat/>
    <w:uiPriority w:val="9"/>
    <w:rPr>
      <w:rFonts w:ascii="Times New Roman" w:hAnsi="Times New Roman" w:eastAsia="MS Mincho" w:cs="Times New Roman"/>
      <w:b/>
      <w:sz w:val="24"/>
      <w:szCs w:val="20"/>
      <w:lang w:eastAsia="id-ID"/>
    </w:rPr>
  </w:style>
  <w:style w:type="character" w:customStyle="1" w:styleId="30">
    <w:name w:val="Heading 3 Char"/>
    <w:basedOn w:val="6"/>
    <w:link w:val="4"/>
    <w:qFormat/>
    <w:uiPriority w:val="9"/>
    <w:rPr>
      <w:rFonts w:ascii="Times New Roman" w:hAnsi="Times New Roman" w:eastAsia="MS Mincho" w:cs="Times New Roman"/>
      <w:i/>
      <w:iCs/>
      <w:sz w:val="20"/>
      <w:szCs w:val="20"/>
      <w:lang w:eastAsia="id-ID"/>
    </w:rPr>
  </w:style>
  <w:style w:type="character" w:customStyle="1" w:styleId="31">
    <w:name w:val="Heading 4 Char"/>
    <w:basedOn w:val="6"/>
    <w:link w:val="5"/>
    <w:qFormat/>
    <w:uiPriority w:val="9"/>
    <w:rPr>
      <w:rFonts w:ascii="Times New Roman" w:hAnsi="Times New Roman" w:eastAsia="MS Mincho" w:cs="Times New Roman"/>
      <w:i/>
      <w:iCs/>
      <w:sz w:val="20"/>
      <w:szCs w:val="20"/>
      <w:lang w:eastAsia="id-ID"/>
    </w:rPr>
  </w:style>
  <w:style w:type="paragraph" w:customStyle="1" w:styleId="32">
    <w:name w:val="AuthorAffiliation"/>
    <w:next w:val="1"/>
    <w:qFormat/>
    <w:uiPriority w:val="0"/>
    <w:pPr>
      <w:suppressAutoHyphens/>
      <w:spacing w:after="0" w:line="200" w:lineRule="exact"/>
    </w:pPr>
    <w:rPr>
      <w:rFonts w:ascii="Times New Roman" w:hAnsi="Times New Roman" w:eastAsia="SimSun" w:cs="Times New Roman"/>
      <w:sz w:val="14"/>
      <w:szCs w:val="20"/>
      <w:lang w:val="en-US" w:eastAsia="en-US" w:bidi="ar-SA"/>
    </w:rPr>
  </w:style>
  <w:style w:type="paragraph" w:customStyle="1" w:styleId="33">
    <w:name w:val="Author"/>
    <w:next w:val="1"/>
    <w:qFormat/>
    <w:uiPriority w:val="0"/>
    <w:pPr>
      <w:keepNext/>
      <w:suppressAutoHyphens/>
      <w:spacing w:after="160" w:line="300" w:lineRule="exact"/>
    </w:pPr>
    <w:rPr>
      <w:rFonts w:ascii="Times New Roman" w:hAnsi="Times New Roman" w:eastAsia="SimSun" w:cs="Times New Roman"/>
      <w:sz w:val="26"/>
      <w:szCs w:val="20"/>
      <w:lang w:val="en-US" w:eastAsia="en-US" w:bidi="ar-SA"/>
    </w:rPr>
  </w:style>
  <w:style w:type="paragraph" w:customStyle="1" w:styleId="34">
    <w:name w:val="Title IJAIN"/>
    <w:next w:val="33"/>
    <w:qFormat/>
    <w:uiPriority w:val="0"/>
    <w:pPr>
      <w:suppressAutoHyphens/>
      <w:spacing w:after="0" w:line="240" w:lineRule="auto"/>
      <w:jc w:val="both"/>
    </w:pPr>
    <w:rPr>
      <w:rFonts w:ascii="Times New Roman" w:hAnsi="Times New Roman" w:eastAsia="SimSun" w:cs="Times New Roman"/>
      <w:sz w:val="20"/>
      <w:szCs w:val="20"/>
      <w:lang w:val="en-US" w:eastAsia="en-US" w:bidi="ar-SA"/>
    </w:rPr>
  </w:style>
  <w:style w:type="paragraph" w:customStyle="1" w:styleId="35">
    <w:name w:val="AbstractHead"/>
    <w:qFormat/>
    <w:uiPriority w:val="0"/>
    <w:pPr>
      <w:spacing w:after="0" w:line="240" w:lineRule="auto"/>
    </w:pPr>
    <w:rPr>
      <w:rFonts w:ascii="Times New Roman" w:hAnsi="Times New Roman" w:eastAsia="Times New Roman" w:cs="Times New Roman"/>
      <w:smallCaps/>
      <w:spacing w:val="24"/>
      <w:sz w:val="20"/>
      <w:szCs w:val="20"/>
      <w:lang w:val="en-US" w:eastAsia="en-US" w:bidi="ar-SA"/>
    </w:rPr>
  </w:style>
  <w:style w:type="paragraph" w:customStyle="1" w:styleId="36">
    <w:name w:val="AbstractText"/>
    <w:qFormat/>
    <w:uiPriority w:val="0"/>
    <w:pPr>
      <w:spacing w:after="80" w:line="200" w:lineRule="exact"/>
      <w:jc w:val="both"/>
    </w:pPr>
    <w:rPr>
      <w:rFonts w:ascii="Times New Roman" w:hAnsi="Times New Roman" w:eastAsia="Times New Roman" w:cs="Times New Roman"/>
      <w:sz w:val="20"/>
      <w:szCs w:val="20"/>
      <w:lang w:val="id-ID" w:eastAsia="en-US" w:bidi="ar-SA"/>
    </w:rPr>
  </w:style>
  <w:style w:type="paragraph" w:customStyle="1" w:styleId="37">
    <w:name w:val="Articlehistory"/>
    <w:qFormat/>
    <w:uiPriority w:val="0"/>
    <w:pPr>
      <w:spacing w:after="0" w:line="200" w:lineRule="exact"/>
    </w:pPr>
    <w:rPr>
      <w:rFonts w:ascii="Ebrima" w:hAnsi="Ebrima" w:eastAsia="Times New Roman" w:cs="Times New Roman"/>
      <w:sz w:val="14"/>
      <w:szCs w:val="20"/>
      <w:lang w:val="en-US" w:eastAsia="en-US" w:bidi="ar-SA"/>
    </w:rPr>
  </w:style>
  <w:style w:type="paragraph" w:customStyle="1" w:styleId="38">
    <w:name w:val="ArticleinfoHead"/>
    <w:qFormat/>
    <w:uiPriority w:val="0"/>
    <w:pPr>
      <w:spacing w:after="0" w:line="240" w:lineRule="auto"/>
    </w:pPr>
    <w:rPr>
      <w:rFonts w:ascii="Times New Roman" w:hAnsi="Times New Roman" w:eastAsia="Times New Roman" w:cs="Times New Roman"/>
      <w:smallCaps/>
      <w:spacing w:val="24"/>
      <w:sz w:val="18"/>
      <w:szCs w:val="20"/>
      <w:lang w:val="en-US" w:eastAsia="en-US" w:bidi="ar-SA"/>
    </w:rPr>
  </w:style>
  <w:style w:type="paragraph" w:customStyle="1" w:styleId="39">
    <w:name w:val="Keyword"/>
    <w:qFormat/>
    <w:uiPriority w:val="0"/>
    <w:pPr>
      <w:spacing w:after="0" w:line="200" w:lineRule="exact"/>
    </w:pPr>
    <w:rPr>
      <w:rFonts w:ascii="Ebrima" w:hAnsi="Ebrima" w:eastAsia="Times New Roman" w:cs="Times New Roman"/>
      <w:sz w:val="14"/>
      <w:szCs w:val="20"/>
      <w:lang w:val="en-US" w:eastAsia="en-US" w:bidi="ar-SA"/>
    </w:rPr>
  </w:style>
  <w:style w:type="paragraph" w:customStyle="1" w:styleId="40">
    <w:name w:val="KeywordHead"/>
    <w:next w:val="39"/>
    <w:qFormat/>
    <w:uiPriority w:val="0"/>
    <w:pPr>
      <w:spacing w:after="0" w:line="200" w:lineRule="exact"/>
    </w:pPr>
    <w:rPr>
      <w:rFonts w:ascii="Junicode" w:hAnsi="Junicode" w:eastAsia="Times New Roman" w:cs="Times New Roman"/>
      <w:i/>
      <w:sz w:val="18"/>
      <w:szCs w:val="20"/>
      <w:lang w:val="en-US" w:eastAsia="en-US" w:bidi="ar-SA"/>
    </w:rPr>
  </w:style>
  <w:style w:type="paragraph" w:customStyle="1" w:styleId="41">
    <w:name w:val="Copyright"/>
    <w:basedOn w:val="36"/>
    <w:qFormat/>
    <w:uiPriority w:val="0"/>
    <w:pPr>
      <w:framePr w:hSpace="187" w:wrap="around" w:vAnchor="text" w:hAnchor="text" w:y="1"/>
      <w:suppressOverlap/>
      <w:spacing w:after="0"/>
      <w:jc w:val="right"/>
    </w:pPr>
    <w:rPr>
      <w:sz w:val="17"/>
      <w:szCs w:val="14"/>
    </w:rPr>
  </w:style>
  <w:style w:type="paragraph" w:customStyle="1" w:styleId="42">
    <w:name w:val="ArticlehistoryHead"/>
    <w:basedOn w:val="37"/>
    <w:qFormat/>
    <w:uiPriority w:val="0"/>
    <w:pPr>
      <w:framePr w:hSpace="187" w:wrap="around" w:vAnchor="text" w:hAnchor="text" w:y="1"/>
      <w:suppressOverlap/>
    </w:pPr>
    <w:rPr>
      <w:b/>
    </w:rPr>
  </w:style>
  <w:style w:type="character" w:customStyle="1" w:styleId="43">
    <w:name w:val="Header Char"/>
    <w:basedOn w:val="6"/>
    <w:link w:val="20"/>
    <w:qFormat/>
    <w:uiPriority w:val="99"/>
    <w:rPr>
      <w:rFonts w:ascii="Calibri" w:hAnsi="Calibri" w:eastAsia="Calibri" w:cs="Times New Roman"/>
      <w:lang w:val="en-US"/>
    </w:rPr>
  </w:style>
  <w:style w:type="character" w:customStyle="1" w:styleId="44">
    <w:name w:val="Footer Char"/>
    <w:basedOn w:val="6"/>
    <w:link w:val="17"/>
    <w:qFormat/>
    <w:uiPriority w:val="99"/>
    <w:rPr>
      <w:rFonts w:ascii="Calibri" w:hAnsi="Calibri" w:eastAsia="Calibri" w:cs="Times New Roman"/>
      <w:lang w:val="en-US"/>
    </w:rPr>
  </w:style>
  <w:style w:type="character" w:customStyle="1" w:styleId="45">
    <w:name w:val="Body Text Char"/>
    <w:basedOn w:val="6"/>
    <w:link w:val="9"/>
    <w:qFormat/>
    <w:uiPriority w:val="1"/>
    <w:rPr>
      <w:rFonts w:ascii="Times New Roman" w:hAnsi="Times New Roman" w:eastAsia="MS Mincho" w:cs="Times New Roman"/>
      <w:spacing w:val="-1"/>
      <w:szCs w:val="20"/>
      <w:lang w:val="en-US"/>
    </w:rPr>
  </w:style>
  <w:style w:type="paragraph" w:customStyle="1" w:styleId="46">
    <w:name w:val="bullet list"/>
    <w:basedOn w:val="9"/>
    <w:qFormat/>
    <w:uiPriority w:val="0"/>
    <w:pPr>
      <w:numPr>
        <w:ilvl w:val="0"/>
        <w:numId w:val="2"/>
      </w:numPr>
      <w:tabs>
        <w:tab w:val="clear" w:pos="648"/>
      </w:tabs>
      <w:ind w:left="576" w:hanging="288"/>
    </w:pPr>
  </w:style>
  <w:style w:type="paragraph" w:customStyle="1" w:styleId="47">
    <w:name w:val="figure caption"/>
    <w:qFormat/>
    <w:uiPriority w:val="0"/>
    <w:pPr>
      <w:numPr>
        <w:ilvl w:val="0"/>
        <w:numId w:val="3"/>
      </w:numPr>
      <w:tabs>
        <w:tab w:val="left" w:pos="533"/>
      </w:tabs>
      <w:spacing w:before="80" w:after="200" w:line="240" w:lineRule="auto"/>
      <w:jc w:val="center"/>
    </w:pPr>
    <w:rPr>
      <w:rFonts w:ascii="Junicode" w:hAnsi="Junicode" w:eastAsia="Times New Roman" w:cs="Times New Roman"/>
      <w:sz w:val="20"/>
      <w:szCs w:val="16"/>
      <w:lang w:val="en-US" w:eastAsia="en-US" w:bidi="ar-SA"/>
    </w:rPr>
  </w:style>
  <w:style w:type="paragraph" w:customStyle="1" w:styleId="48">
    <w:name w:val="table col head"/>
    <w:basedOn w:val="1"/>
    <w:qFormat/>
    <w:uiPriority w:val="99"/>
    <w:pPr>
      <w:jc w:val="center"/>
    </w:pPr>
    <w:rPr>
      <w:rFonts w:ascii="Junicode" w:hAnsi="Junicode"/>
      <w:b/>
      <w:bCs/>
      <w:sz w:val="20"/>
      <w:szCs w:val="16"/>
    </w:rPr>
  </w:style>
  <w:style w:type="paragraph" w:customStyle="1" w:styleId="49">
    <w:name w:val="table col subhead"/>
    <w:basedOn w:val="48"/>
    <w:qFormat/>
    <w:uiPriority w:val="99"/>
    <w:rPr>
      <w:i/>
      <w:iCs/>
      <w:sz w:val="19"/>
      <w:szCs w:val="15"/>
    </w:rPr>
  </w:style>
  <w:style w:type="paragraph" w:customStyle="1" w:styleId="50">
    <w:name w:val="table copy"/>
    <w:qFormat/>
    <w:uiPriority w:val="99"/>
    <w:pPr>
      <w:spacing w:after="0" w:line="240" w:lineRule="auto"/>
      <w:jc w:val="center"/>
    </w:pPr>
    <w:rPr>
      <w:rFonts w:ascii="Junicode" w:hAnsi="Junicode" w:eastAsia="Times New Roman" w:cs="Times New Roman"/>
      <w:sz w:val="18"/>
      <w:szCs w:val="16"/>
      <w:lang w:val="en-US" w:eastAsia="en-US" w:bidi="ar-SA"/>
    </w:rPr>
  </w:style>
  <w:style w:type="paragraph" w:customStyle="1" w:styleId="51">
    <w:name w:val="table footnote"/>
    <w:qFormat/>
    <w:uiPriority w:val="99"/>
    <w:pPr>
      <w:numPr>
        <w:ilvl w:val="0"/>
        <w:numId w:val="4"/>
      </w:numPr>
      <w:tabs>
        <w:tab w:val="left" w:pos="29"/>
      </w:tabs>
      <w:spacing w:before="60" w:after="30" w:line="240" w:lineRule="auto"/>
      <w:ind w:left="360"/>
      <w:jc w:val="right"/>
    </w:pPr>
    <w:rPr>
      <w:rFonts w:ascii="Junicode" w:hAnsi="Junicode" w:eastAsia="MS Mincho" w:cs="Times New Roman"/>
      <w:sz w:val="16"/>
      <w:szCs w:val="12"/>
      <w:lang w:val="en-US" w:eastAsia="en-US" w:bidi="ar-SA"/>
    </w:rPr>
  </w:style>
  <w:style w:type="paragraph" w:customStyle="1" w:styleId="52">
    <w:name w:val="table head"/>
    <w:qFormat/>
    <w:uiPriority w:val="99"/>
    <w:pPr>
      <w:numPr>
        <w:ilvl w:val="0"/>
        <w:numId w:val="5"/>
      </w:numPr>
      <w:spacing w:before="240" w:after="120" w:line="240" w:lineRule="auto"/>
      <w:jc w:val="center"/>
    </w:pPr>
    <w:rPr>
      <w:rFonts w:ascii="Junicode" w:hAnsi="Junicode" w:eastAsia="Times New Roman" w:cs="Times New Roman"/>
      <w:sz w:val="20"/>
      <w:szCs w:val="16"/>
      <w:lang w:val="en-US" w:eastAsia="en-US" w:bidi="ar-SA"/>
    </w:rPr>
  </w:style>
  <w:style w:type="paragraph" w:customStyle="1" w:styleId="53">
    <w:name w:val="figure"/>
    <w:basedOn w:val="51"/>
    <w:qFormat/>
    <w:uiPriority w:val="0"/>
    <w:pPr>
      <w:numPr>
        <w:ilvl w:val="0"/>
        <w:numId w:val="0"/>
      </w:numPr>
      <w:ind w:left="360" w:hanging="360"/>
      <w:jc w:val="center"/>
    </w:pPr>
  </w:style>
  <w:style w:type="character" w:customStyle="1" w:styleId="54">
    <w:name w:val="Balloon Text Char"/>
    <w:basedOn w:val="6"/>
    <w:link w:val="8"/>
    <w:qFormat/>
    <w:uiPriority w:val="99"/>
    <w:rPr>
      <w:rFonts w:ascii="Tahoma" w:hAnsi="Tahoma" w:eastAsia="Calibri" w:cs="Tahoma"/>
      <w:sz w:val="16"/>
      <w:szCs w:val="16"/>
      <w:lang w:val="en-US"/>
    </w:rPr>
  </w:style>
  <w:style w:type="character" w:customStyle="1" w:styleId="55">
    <w:name w:val="HTML Preformatted Char"/>
    <w:basedOn w:val="6"/>
    <w:link w:val="21"/>
    <w:qFormat/>
    <w:uiPriority w:val="99"/>
    <w:rPr>
      <w:rFonts w:ascii="Courier New" w:hAnsi="Courier New" w:eastAsia="Times New Roman" w:cs="Courier New"/>
      <w:sz w:val="20"/>
      <w:szCs w:val="20"/>
      <w:lang w:val="en-US"/>
    </w:rPr>
  </w:style>
  <w:style w:type="paragraph" w:styleId="56">
    <w:name w:val="List Paragraph"/>
    <w:basedOn w:val="1"/>
    <w:link w:val="57"/>
    <w:qFormat/>
    <w:uiPriority w:val="1"/>
    <w:pPr>
      <w:suppressAutoHyphens/>
      <w:ind w:left="720"/>
      <w:contextualSpacing/>
      <w:jc w:val="both"/>
    </w:pPr>
    <w:rPr>
      <w:rFonts w:eastAsia="Droid Sans Fallback"/>
      <w:color w:val="00000A"/>
    </w:rPr>
  </w:style>
  <w:style w:type="character" w:customStyle="1" w:styleId="57">
    <w:name w:val="List Paragraph Char"/>
    <w:link w:val="56"/>
    <w:qFormat/>
    <w:uiPriority w:val="1"/>
    <w:rPr>
      <w:rFonts w:ascii="Calibri" w:hAnsi="Calibri" w:eastAsia="Droid Sans Fallback" w:cs="Times New Roman"/>
      <w:color w:val="00000A"/>
      <w:lang w:val="en-US"/>
    </w:rPr>
  </w:style>
  <w:style w:type="character" w:customStyle="1" w:styleId="58">
    <w:name w:val="Footnote Text Char"/>
    <w:basedOn w:val="6"/>
    <w:link w:val="19"/>
    <w:qFormat/>
    <w:uiPriority w:val="99"/>
    <w:rPr>
      <w:rFonts w:eastAsia="SimSun"/>
      <w:sz w:val="20"/>
      <w:szCs w:val="20"/>
      <w:lang w:val="en-US"/>
    </w:rPr>
  </w:style>
  <w:style w:type="paragraph" w:styleId="59">
    <w:name w:val="No Spacing"/>
    <w:link w:val="60"/>
    <w:qFormat/>
    <w:uiPriority w:val="1"/>
    <w:pPr>
      <w:spacing w:after="0" w:line="240" w:lineRule="auto"/>
    </w:pPr>
    <w:rPr>
      <w:rFonts w:ascii="Calibri" w:hAnsi="Calibri" w:eastAsia="SimSun" w:cs="Mangal"/>
      <w:sz w:val="22"/>
      <w:szCs w:val="22"/>
      <w:lang w:val="id-ID" w:eastAsia="en-US" w:bidi="ar-SA"/>
    </w:rPr>
  </w:style>
  <w:style w:type="character" w:customStyle="1" w:styleId="60">
    <w:name w:val="No Spacing Char"/>
    <w:link w:val="59"/>
    <w:qFormat/>
    <w:uiPriority w:val="1"/>
    <w:rPr>
      <w:rFonts w:eastAsia="SimSun"/>
    </w:rPr>
  </w:style>
  <w:style w:type="paragraph" w:customStyle="1" w:styleId="61">
    <w:name w:val="Default"/>
    <w:qFormat/>
    <w:uiPriority w:val="0"/>
    <w:pPr>
      <w:autoSpaceDE w:val="0"/>
      <w:autoSpaceDN w:val="0"/>
      <w:adjustRightInd w:val="0"/>
      <w:spacing w:after="0" w:line="240" w:lineRule="auto"/>
    </w:pPr>
    <w:rPr>
      <w:rFonts w:ascii="Cambria" w:hAnsi="Cambria" w:eastAsia="Calibri" w:cs="Cambria"/>
      <w:color w:val="000000"/>
      <w:sz w:val="24"/>
      <w:szCs w:val="24"/>
      <w:lang w:val="id-ID" w:eastAsia="id-ID" w:bidi="ar-SA"/>
    </w:rPr>
  </w:style>
  <w:style w:type="paragraph" w:customStyle="1" w:styleId="62">
    <w:name w:val="Table Paragraph"/>
    <w:basedOn w:val="1"/>
    <w:qFormat/>
    <w:uiPriority w:val="1"/>
    <w:pPr>
      <w:widowControl w:val="0"/>
      <w:autoSpaceDE w:val="0"/>
      <w:autoSpaceDN w:val="0"/>
    </w:pPr>
  </w:style>
  <w:style w:type="table" w:customStyle="1" w:styleId="63">
    <w:name w:val="List Table 2 - Accent 11"/>
    <w:basedOn w:val="7"/>
    <w:qFormat/>
    <w:uiPriority w:val="47"/>
    <w:pPr>
      <w:widowControl w:val="0"/>
      <w:autoSpaceDE w:val="0"/>
      <w:autoSpaceDN w:val="0"/>
      <w:spacing w:after="0" w:line="240" w:lineRule="auto"/>
    </w:pPr>
    <w:rPr>
      <w:lang w:val="en-US"/>
    </w:rPr>
    <w:tblPr>
      <w:tblBorders>
        <w:top w:val="single" w:color="9CC2E5" w:sz="4" w:space="0"/>
        <w:bottom w:val="single" w:color="9CC2E5" w:sz="4" w:space="0"/>
        <w:insideH w:val="single" w:color="9CC2E5"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64">
    <w:name w:val="List Paragraph1"/>
    <w:basedOn w:val="1"/>
    <w:qFormat/>
    <w:uiPriority w:val="0"/>
    <w:pPr>
      <w:ind w:left="720"/>
      <w:contextualSpacing/>
    </w:pPr>
    <w:rPr>
      <w:rFonts w:cs="Mangal"/>
    </w:rPr>
  </w:style>
  <w:style w:type="table" w:customStyle="1" w:styleId="65">
    <w:name w:val="Plain Table 21"/>
    <w:basedOn w:val="7"/>
    <w:qFormat/>
    <w:uiPriority w:val="42"/>
    <w:pPr>
      <w:widowControl w:val="0"/>
      <w:autoSpaceDE w:val="0"/>
      <w:autoSpaceDN w:val="0"/>
      <w:spacing w:after="0" w:line="240" w:lineRule="auto"/>
    </w:pPr>
    <w:rPr>
      <w:lang w:val="en-US"/>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66">
    <w:name w:val="Comment Text Char"/>
    <w:basedOn w:val="6"/>
    <w:link w:val="12"/>
    <w:qFormat/>
    <w:uiPriority w:val="99"/>
    <w:rPr>
      <w:rFonts w:ascii="Calibri" w:hAnsi="Calibri" w:eastAsia="Calibri" w:cs="Times New Roman"/>
      <w:sz w:val="20"/>
      <w:szCs w:val="20"/>
      <w:lang w:val="en-US"/>
    </w:rPr>
  </w:style>
  <w:style w:type="character" w:customStyle="1" w:styleId="67">
    <w:name w:val="Comment Subject Char"/>
    <w:basedOn w:val="66"/>
    <w:link w:val="13"/>
    <w:qFormat/>
    <w:uiPriority w:val="99"/>
    <w:rPr>
      <w:rFonts w:ascii="Calibri" w:hAnsi="Calibri" w:eastAsia="Calibri" w:cs="Times New Roman"/>
      <w:b/>
      <w:bCs/>
      <w:sz w:val="20"/>
      <w:szCs w:val="20"/>
      <w:lang w:val="en-US"/>
    </w:rPr>
  </w:style>
  <w:style w:type="character" w:customStyle="1" w:styleId="68">
    <w:name w:val="hps"/>
    <w:basedOn w:val="6"/>
    <w:qFormat/>
    <w:uiPriority w:val="0"/>
  </w:style>
  <w:style w:type="character" w:customStyle="1" w:styleId="69">
    <w:name w:val="apple-converted-space"/>
    <w:qFormat/>
    <w:uiPriority w:val="0"/>
  </w:style>
  <w:style w:type="character" w:customStyle="1" w:styleId="70">
    <w:name w:val="Subtitle Char"/>
    <w:basedOn w:val="6"/>
    <w:link w:val="25"/>
    <w:qFormat/>
    <w:uiPriority w:val="11"/>
    <w:rPr>
      <w:rFonts w:eastAsia="Times New Roman"/>
      <w:color w:val="5A5A5A"/>
      <w:spacing w:val="15"/>
      <w:lang w:val="en-US"/>
    </w:rPr>
  </w:style>
  <w:style w:type="character" w:customStyle="1" w:styleId="71">
    <w:name w:val="A1"/>
    <w:qFormat/>
    <w:uiPriority w:val="99"/>
    <w:rPr>
      <w:i/>
      <w:iCs/>
      <w:color w:val="000000"/>
      <w:sz w:val="20"/>
      <w:szCs w:val="20"/>
    </w:rPr>
  </w:style>
  <w:style w:type="paragraph" w:customStyle="1" w:styleId="72">
    <w:name w:val="ISI"/>
    <w:basedOn w:val="56"/>
    <w:qFormat/>
    <w:uiPriority w:val="0"/>
    <w:pPr>
      <w:suppressAutoHyphens w:val="0"/>
      <w:spacing w:line="276" w:lineRule="auto"/>
      <w:ind w:left="0" w:firstLine="397"/>
      <w:contextualSpacing w:val="0"/>
    </w:pPr>
    <w:rPr>
      <w:rFonts w:ascii="Garamond" w:hAnsi="Garamond" w:eastAsia="Times New Roman"/>
      <w:color w:val="auto"/>
      <w:kern w:val="16"/>
    </w:rPr>
  </w:style>
  <w:style w:type="paragraph" w:customStyle="1" w:styleId="73">
    <w:name w:val="JUDUL SUB"/>
    <w:basedOn w:val="1"/>
    <w:qFormat/>
    <w:uiPriority w:val="0"/>
    <w:pPr>
      <w:spacing w:before="120" w:after="120" w:line="276" w:lineRule="auto"/>
    </w:pPr>
    <w:rPr>
      <w:rFonts w:ascii="Garamond" w:hAnsi="Garamond" w:cs="Mangal"/>
      <w:b/>
    </w:rPr>
  </w:style>
  <w:style w:type="table" w:customStyle="1" w:styleId="74">
    <w:name w:val="Light Shading1"/>
    <w:basedOn w:val="7"/>
    <w:qFormat/>
    <w:uiPriority w:val="60"/>
    <w:pPr>
      <w:spacing w:after="0" w:line="240" w:lineRule="auto"/>
    </w:pPr>
    <w:rPr>
      <w:rFonts w:ascii="Times New Roman" w:hAnsi="Times New Roman" w:eastAsia="SimSun" w:cs="Times New Roman"/>
      <w:color w:val="000000"/>
      <w:sz w:val="20"/>
      <w:szCs w:val="20"/>
      <w:lang w:val="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75">
    <w:name w:val="lrzxr"/>
    <w:basedOn w:val="6"/>
    <w:qFormat/>
    <w:uiPriority w:val="0"/>
  </w:style>
  <w:style w:type="character" w:customStyle="1" w:styleId="76">
    <w:name w:val="alt-edited"/>
    <w:basedOn w:val="6"/>
    <w:qFormat/>
    <w:uiPriority w:val="0"/>
  </w:style>
  <w:style w:type="character" w:customStyle="1" w:styleId="77">
    <w:name w:val="tlid-translation"/>
    <w:basedOn w:val="6"/>
    <w:qFormat/>
    <w:uiPriority w:val="0"/>
  </w:style>
  <w:style w:type="character" w:customStyle="1" w:styleId="78">
    <w:name w:val="short_text"/>
    <w:basedOn w:val="6"/>
    <w:qFormat/>
    <w:uiPriority w:val="0"/>
  </w:style>
  <w:style w:type="character" w:customStyle="1" w:styleId="79">
    <w:name w:val="A2"/>
    <w:qFormat/>
    <w:uiPriority w:val="99"/>
    <w:rPr>
      <w:i/>
      <w:color w:val="000000"/>
      <w:sz w:val="22"/>
    </w:rPr>
  </w:style>
  <w:style w:type="paragraph" w:customStyle="1" w:styleId="80">
    <w:name w:val="Pa5"/>
    <w:basedOn w:val="61"/>
    <w:next w:val="61"/>
    <w:qFormat/>
    <w:uiPriority w:val="99"/>
    <w:pPr>
      <w:spacing w:line="211" w:lineRule="atLeast"/>
    </w:pPr>
    <w:rPr>
      <w:rFonts w:ascii="Calibri" w:hAnsi="Calibri" w:eastAsia="Times New Roman" w:cs="Times New Roman"/>
      <w:color w:val="auto"/>
      <w:lang w:eastAsia="en-US"/>
    </w:rPr>
  </w:style>
  <w:style w:type="paragraph" w:customStyle="1" w:styleId="81">
    <w:name w:val="m_6497595705450217698ydp2d06a989msonormal"/>
    <w:basedOn w:val="1"/>
    <w:qFormat/>
    <w:uiPriority w:val="0"/>
    <w:pPr>
      <w:spacing w:before="100" w:beforeAutospacing="1" w:after="100" w:afterAutospacing="1"/>
    </w:pPr>
  </w:style>
  <w:style w:type="paragraph" w:customStyle="1" w:styleId="82">
    <w:name w:val="Bibliography"/>
    <w:basedOn w:val="1"/>
    <w:next w:val="1"/>
    <w:qFormat/>
    <w:uiPriority w:val="37"/>
  </w:style>
  <w:style w:type="table" w:customStyle="1" w:styleId="83">
    <w:name w:val="Table Grid1"/>
    <w:basedOn w:val="7"/>
    <w:qFormat/>
    <w:uiPriority w:val="59"/>
    <w:pPr>
      <w:spacing w:after="0" w:line="240" w:lineRule="auto"/>
    </w:pPr>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4">
    <w:name w:val="st"/>
    <w:basedOn w:val="6"/>
    <w:qFormat/>
    <w:uiPriority w:val="0"/>
  </w:style>
  <w:style w:type="character" w:customStyle="1" w:styleId="85">
    <w:name w:val="Endnote Text Char"/>
    <w:basedOn w:val="6"/>
    <w:link w:val="15"/>
    <w:qFormat/>
    <w:uiPriority w:val="99"/>
    <w:rPr>
      <w:sz w:val="20"/>
      <w:szCs w:val="20"/>
      <w:lang w:val="en-US"/>
    </w:rPr>
  </w:style>
  <w:style w:type="character" w:customStyle="1" w:styleId="86">
    <w:name w:val="Endnote Text Char1"/>
    <w:basedOn w:val="6"/>
    <w:qFormat/>
    <w:uiPriority w:val="99"/>
    <w:rPr>
      <w:rFonts w:ascii="Calibri" w:hAnsi="Calibri" w:eastAsia="Calibri" w:cs="Times New Roman"/>
      <w:sz w:val="20"/>
      <w:szCs w:val="20"/>
      <w:lang w:val="en-US"/>
    </w:rPr>
  </w:style>
  <w:style w:type="paragraph" w:customStyle="1" w:styleId="87">
    <w:name w:val="Communicatus_1.1 Judul"/>
    <w:basedOn w:val="1"/>
    <w:qFormat/>
    <w:uiPriority w:val="0"/>
    <w:pPr>
      <w:widowControl w:val="0"/>
      <w:autoSpaceDE w:val="0"/>
      <w:autoSpaceDN w:val="0"/>
      <w:adjustRightInd w:val="0"/>
      <w:spacing w:after="200"/>
      <w:ind w:right="-32" w:hanging="1"/>
      <w:jc w:val="center"/>
    </w:pPr>
    <w:rPr>
      <w:rFonts w:ascii="Garamond" w:hAnsi="Garamond" w:eastAsia="SimSun" w:cs="Mangal"/>
      <w:b/>
      <w:bCs/>
      <w:sz w:val="32"/>
      <w:szCs w:val="28"/>
    </w:rPr>
  </w:style>
  <w:style w:type="table" w:customStyle="1" w:styleId="88">
    <w:name w:val="Tabel Biasa 21"/>
    <w:basedOn w:val="7"/>
    <w:qFormat/>
    <w:uiPriority w:val="42"/>
    <w:pPr>
      <w:spacing w:after="0" w:line="240" w:lineRule="auto"/>
    </w:pPr>
    <w:rPr>
      <w:lang w:val="en-US"/>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89">
    <w:name w:val="Sebutan Yang Belum Terselesaikan1"/>
    <w:basedOn w:val="6"/>
    <w:qFormat/>
    <w:uiPriority w:val="99"/>
    <w:rPr>
      <w:color w:val="605E5C"/>
      <w:shd w:val="clear" w:color="auto" w:fill="E1DFDD"/>
    </w:rPr>
  </w:style>
  <w:style w:type="character" w:customStyle="1" w:styleId="90">
    <w:name w:val="Sebutan Yang Belum Terselesaikan2"/>
    <w:basedOn w:val="6"/>
    <w:semiHidden/>
    <w:unhideWhenUsed/>
    <w:qFormat/>
    <w:uiPriority w:val="99"/>
    <w:rPr>
      <w:color w:val="605E5C"/>
      <w:shd w:val="clear" w:color="auto" w:fill="E1DFDD"/>
    </w:rPr>
  </w:style>
  <w:style w:type="character" w:customStyle="1" w:styleId="91">
    <w:name w:val="y2iqfc"/>
    <w:basedOn w:val="6"/>
    <w:qFormat/>
    <w:uiPriority w:val="0"/>
  </w:style>
  <w:style w:type="character" w:customStyle="1" w:styleId="92">
    <w:name w:val="Sebutan Yang Belum Terselesaikan3"/>
    <w:basedOn w:val="6"/>
    <w:semiHidden/>
    <w:unhideWhenUsed/>
    <w:qFormat/>
    <w:uiPriority w:val="99"/>
    <w:rPr>
      <w:color w:val="605E5C"/>
      <w:shd w:val="clear" w:color="auto" w:fill="E1DFDD"/>
    </w:rPr>
  </w:style>
  <w:style w:type="character" w:customStyle="1" w:styleId="93">
    <w:name w:val="Heading 2 Char"/>
    <w:basedOn w:val="6"/>
    <w:link w:val="3"/>
    <w:semiHidden/>
    <w:qFormat/>
    <w:uiPriority w:val="9"/>
    <w:rPr>
      <w:rFonts w:asciiTheme="majorHAnsi" w:hAnsiTheme="majorHAnsi" w:eastAsiaTheme="majorEastAsia" w:cstheme="majorBidi"/>
      <w:color w:val="376092" w:themeColor="accent1" w:themeShade="BF"/>
      <w:sz w:val="26"/>
      <w:szCs w:val="26"/>
      <w:lang w:eastAsia="id-ID"/>
    </w:rPr>
  </w:style>
  <w:style w:type="table" w:customStyle="1" w:styleId="94">
    <w:name w:val="Tabel Biasa 41"/>
    <w:basedOn w:val="7"/>
    <w:qFormat/>
    <w:uiPriority w:val="44"/>
    <w:pPr>
      <w:spacing w:after="0" w:line="240" w:lineRule="auto"/>
    </w:pPr>
    <w:rPr>
      <w:rFonts w:ascii="Times New Roman" w:hAnsi="Times New Roman" w:eastAsiaTheme="minorHAnsi" w:cstheme="minorBidi"/>
      <w:sz w:val="24"/>
      <w:lang w:val="zh-CN"/>
    </w:rPr>
    <w:tblPr>
      <w:tblBorders>
        <w:top w:val="single" w:color="auto" w:sz="4" w:space="0"/>
        <w:bottom w:val="single" w:color="auto" w:sz="4" w:space="0"/>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95">
    <w:name w:val="Tabel Daftar 6 Berwarna - Aksen 31"/>
    <w:basedOn w:val="7"/>
    <w:qFormat/>
    <w:uiPriority w:val="51"/>
    <w:pPr>
      <w:spacing w:after="0" w:line="240" w:lineRule="auto"/>
    </w:pPr>
    <w:rPr>
      <w:rFonts w:ascii="Times New Roman" w:hAnsi="Times New Roman" w:eastAsiaTheme="minorHAnsi" w:cstheme="minorBidi"/>
      <w:sz w:val="24"/>
      <w:lang w:val="zh-CN"/>
    </w:rPr>
    <w:tblPr>
      <w:tblBorders>
        <w:top w:val="single" w:color="000000" w:sz="4" w:space="0"/>
        <w:bottom w:val="single" w:color="000000" w:sz="4" w:space="0"/>
      </w:tblBorders>
    </w:tblPr>
    <w:tcPr>
      <w:shd w:val="clear" w:color="auto" w:fill="FFFFFF" w:themeFill="background1"/>
    </w:tc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character" w:customStyle="1" w:styleId="96">
    <w:name w:val="apple-tab-span"/>
    <w:basedOn w:val="6"/>
    <w:qFormat/>
    <w:uiPriority w:val="0"/>
  </w:style>
  <w:style w:type="character" w:styleId="97">
    <w:name w:val="Placeholder Text"/>
    <w:basedOn w:val="6"/>
    <w:semiHidden/>
    <w:uiPriority w:val="99"/>
    <w:rPr>
      <w:color w:val="808080"/>
    </w:rPr>
  </w:style>
  <w:style w:type="paragraph" w:customStyle="1" w:styleId="98">
    <w:name w:val="abstrakIndo"/>
    <w:basedOn w:val="9"/>
    <w:qFormat/>
    <w:uiPriority w:val="0"/>
    <w:pPr>
      <w:tabs>
        <w:tab w:val="left" w:pos="24"/>
        <w:tab w:val="clear" w:pos="288"/>
      </w:tabs>
      <w:spacing w:after="0" w:line="260" w:lineRule="exact"/>
      <w:ind w:firstLine="245"/>
    </w:pPr>
    <w:rPr>
      <w:rFonts w:eastAsia="Batang"/>
      <w:bCs/>
      <w:spacing w:val="0"/>
      <w:sz w:val="22"/>
      <w:lang w:val="en-US" w:eastAsia="en-US"/>
    </w:rPr>
  </w:style>
  <w:style w:type="paragraph" w:customStyle="1" w:styleId="99">
    <w:name w:val="subjudul"/>
    <w:basedOn w:val="1"/>
    <w:qFormat/>
    <w:uiPriority w:val="0"/>
    <w:pPr>
      <w:tabs>
        <w:tab w:val="left" w:pos="24"/>
      </w:tabs>
      <w:spacing w:after="120"/>
      <w:jc w:val="both"/>
    </w:pPr>
    <w:rPr>
      <w:rFonts w:eastAsia="Batang"/>
      <w:b/>
      <w:sz w:val="26"/>
      <w:szCs w:val="20"/>
      <w:lang w:val="en-US" w:eastAsia="en-US"/>
    </w:rPr>
  </w:style>
  <w:style w:type="paragraph" w:customStyle="1" w:styleId="100">
    <w:name w:val="judultabelMKP"/>
    <w:basedOn w:val="1"/>
    <w:qFormat/>
    <w:uiPriority w:val="0"/>
    <w:pPr>
      <w:spacing w:before="29"/>
      <w:jc w:val="center"/>
    </w:pPr>
    <w:rPr>
      <w:rFonts w:ascii="Arial" w:hAnsi="Arial" w:eastAsia="Batang" w:cs="Arial"/>
      <w:b/>
      <w:sz w:val="22"/>
      <w:szCs w:val="22"/>
      <w:lang w:val="en-US" w:eastAsia="en-US"/>
    </w:rPr>
  </w:style>
  <w:style w:type="paragraph" w:customStyle="1" w:styleId="101">
    <w:name w:val="daftpustaka"/>
    <w:basedOn w:val="1"/>
    <w:qFormat/>
    <w:uiPriority w:val="0"/>
    <w:pPr>
      <w:ind w:left="360" w:right="72" w:hanging="360"/>
      <w:jc w:val="both"/>
    </w:pPr>
    <w:rPr>
      <w:rFonts w:eastAsia="Batang"/>
      <w:sz w:val="22"/>
      <w:szCs w:val="22"/>
      <w:lang w:val="en-US" w:eastAsia="en-US"/>
    </w:rPr>
  </w:style>
  <w:style w:type="paragraph" w:customStyle="1" w:styleId="102">
    <w:name w:val="E-JOURNAL_Body"/>
    <w:basedOn w:val="1"/>
    <w:qFormat/>
    <w:uiPriority w:val="0"/>
    <w:pPr>
      <w:ind w:firstLine="567"/>
      <w:jc w:val="both"/>
    </w:pPr>
    <w:rPr>
      <w:sz w:val="22"/>
      <w:lang w:eastAsia="en-US"/>
    </w:rPr>
  </w:style>
  <w:style w:type="paragraph" w:customStyle="1" w:styleId="103">
    <w:name w:val="Decimal Aligned"/>
    <w:basedOn w:val="1"/>
    <w:qFormat/>
    <w:uiPriority w:val="40"/>
    <w:pPr>
      <w:tabs>
        <w:tab w:val="decimal" w:pos="360"/>
      </w:tabs>
      <w:spacing w:after="200" w:line="276" w:lineRule="auto"/>
    </w:pPr>
    <w:rPr>
      <w:rFonts w:ascii="Calibri" w:hAnsi="Calibri" w:eastAsia="SimSun"/>
      <w:sz w:val="22"/>
      <w:szCs w:val="22"/>
      <w:lang w:val="en-US" w:eastAsia="en-US"/>
    </w:rPr>
  </w:style>
  <w:style w:type="character" w:customStyle="1" w:styleId="104">
    <w:name w:val="Subtle Emphasis"/>
    <w:basedOn w:val="6"/>
    <w:qFormat/>
    <w:uiPriority w:val="19"/>
    <w:rPr>
      <w:i/>
      <w:iCs/>
    </w:rPr>
  </w:style>
  <w:style w:type="table" w:customStyle="1" w:styleId="105">
    <w:name w:val="Tabel Biasa 22"/>
    <w:basedOn w:val="7"/>
    <w:uiPriority w:val="42"/>
    <w:pPr>
      <w:widowControl w:val="0"/>
      <w:autoSpaceDE w:val="0"/>
      <w:autoSpaceDN w:val="0"/>
      <w:spacing w:after="0" w:line="240" w:lineRule="auto"/>
    </w:pPr>
    <w:rPr>
      <w:rFonts w:asciiTheme="minorHAnsi" w:hAnsiTheme="minorHAnsi" w:eastAsiaTheme="minorHAnsi" w:cstheme="minorBidi"/>
      <w:lang w:val="en-US"/>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06">
    <w:name w:val="desktop-title-subcontent"/>
    <w:basedOn w:val="6"/>
    <w:qFormat/>
    <w:uiPriority w:val="0"/>
  </w:style>
  <w:style w:type="character" w:customStyle="1" w:styleId="107">
    <w:name w:val="Unresolved Mention1"/>
    <w:basedOn w:val="6"/>
    <w:semiHidden/>
    <w:unhideWhenUsed/>
    <w:qFormat/>
    <w:uiPriority w:val="99"/>
    <w:rPr>
      <w:color w:val="605E5C"/>
      <w:shd w:val="clear" w:color="auto" w:fill="E1DFDD"/>
    </w:rPr>
  </w:style>
  <w:style w:type="character" w:customStyle="1" w:styleId="108">
    <w:name w:val="w8qarf"/>
    <w:basedOn w:val="6"/>
    <w:uiPriority w:val="0"/>
  </w:style>
  <w:style w:type="character" w:customStyle="1" w:styleId="109">
    <w:name w:val="Sebutan Yang Belum Terselesaikan4"/>
    <w:basedOn w:val="6"/>
    <w:semiHidden/>
    <w:unhideWhenUsed/>
    <w:uiPriority w:val="99"/>
    <w:rPr>
      <w:color w:val="605E5C"/>
      <w:shd w:val="clear" w:color="auto" w:fill="E1DFDD"/>
    </w:rPr>
  </w:style>
  <w:style w:type="character" w:customStyle="1" w:styleId="110">
    <w:name w:val="titleauthoretc"/>
    <w:basedOn w:val="6"/>
    <w:uiPriority w:val="0"/>
  </w:style>
  <w:style w:type="character" w:customStyle="1" w:styleId="111">
    <w:name w:val="q4iawc"/>
    <w:basedOn w:val="6"/>
    <w:qFormat/>
    <w:uiPriority w:val="0"/>
  </w:style>
  <w:style w:type="character" w:customStyle="1" w:styleId="112">
    <w:name w:val="Title Char"/>
    <w:basedOn w:val="6"/>
    <w:link w:val="27"/>
    <w:uiPriority w:val="10"/>
    <w:rPr>
      <w:rFonts w:ascii="Arial" w:hAnsi="Arial" w:eastAsia="Arial" w:cs="Arial"/>
      <w:b/>
      <w:sz w:val="72"/>
      <w:szCs w:val="72"/>
      <w:lang w:val="zh-CN" w:eastAsia="zh-CN"/>
    </w:rPr>
  </w:style>
  <w:style w:type="character" w:customStyle="1" w:styleId="113">
    <w:name w:val="fontstyle01"/>
    <w:uiPriority w:val="0"/>
    <w:rPr>
      <w:rFonts w:hint="default" w:ascii="TimesNewRomanPSMT" w:hAnsi="TimesNewRomanPSMT" w:cs="TimesNewRomanPSMT"/>
      <w:color w:val="000000"/>
      <w:sz w:val="24"/>
      <w:szCs w:val="24"/>
    </w:rPr>
  </w:style>
  <w:style w:type="character" w:customStyle="1" w:styleId="114">
    <w:name w:val="fontstyle21"/>
    <w:uiPriority w:val="0"/>
    <w:rPr>
      <w:rFonts w:hint="default" w:ascii="ArialMT" w:hAnsi="ArialMT"/>
      <w:color w:val="000000"/>
      <w:sz w:val="22"/>
      <w:szCs w:val="22"/>
    </w:rPr>
  </w:style>
  <w:style w:type="character" w:customStyle="1" w:styleId="115">
    <w:name w:val="person_name"/>
    <w:basedOn w:val="6"/>
    <w:qFormat/>
    <w:uiPriority w:val="0"/>
  </w:style>
  <w:style w:type="character" w:customStyle="1" w:styleId="116">
    <w:name w:val="markedcontent"/>
    <w:basedOn w:val="6"/>
    <w:qFormat/>
    <w:uiPriority w:val="0"/>
  </w:style>
  <w:style w:type="character" w:customStyle="1" w:styleId="117">
    <w:name w:val="highlight"/>
    <w:basedOn w:val="6"/>
    <w:qFormat/>
    <w:uiPriority w:val="0"/>
  </w:style>
  <w:style w:type="paragraph" w:customStyle="1" w:styleId="118">
    <w:name w:val="E-JOURNAL_Heading 1"/>
    <w:basedOn w:val="1"/>
    <w:qFormat/>
    <w:uiPriority w:val="0"/>
    <w:pPr>
      <w:spacing w:before="120" w:after="120"/>
    </w:pPr>
    <w:rPr>
      <w:b/>
      <w:sz w:val="22"/>
      <w:szCs w:val="22"/>
      <w:lang w:val="en-US" w:eastAsia="en-US"/>
    </w:rPr>
  </w:style>
  <w:style w:type="paragraph" w:customStyle="1" w:styleId="119">
    <w:name w:val="E-JOURNAL_Heading 2"/>
    <w:basedOn w:val="1"/>
    <w:qFormat/>
    <w:uiPriority w:val="0"/>
    <w:pPr>
      <w:spacing w:before="120" w:after="120"/>
    </w:pPr>
    <w:rPr>
      <w:b/>
      <w:sz w:val="22"/>
      <w:szCs w:val="22"/>
      <w:lang w:val="en-US" w:eastAsia="en-US"/>
    </w:rPr>
  </w:style>
  <w:style w:type="paragraph" w:customStyle="1" w:styleId="120">
    <w:name w:val="E-JOURNAL_TableCaption"/>
    <w:basedOn w:val="1"/>
    <w:autoRedefine/>
    <w:qFormat/>
    <w:uiPriority w:val="0"/>
    <w:pPr>
      <w:spacing w:line="276" w:lineRule="auto"/>
      <w:jc w:val="center"/>
    </w:pPr>
    <w:rPr>
      <w:sz w:val="20"/>
      <w:szCs w:val="20"/>
      <w:lang w:eastAsia="en-US"/>
    </w:rPr>
  </w:style>
  <w:style w:type="character" w:customStyle="1" w:styleId="121">
    <w:name w:val="Sebutan Yang Belum Terselesaikan5"/>
    <w:basedOn w:val="6"/>
    <w:semiHidden/>
    <w:unhideWhenUsed/>
    <w:qFormat/>
    <w:uiPriority w:val="99"/>
    <w:rPr>
      <w:color w:val="605E5C"/>
      <w:shd w:val="clear" w:color="auto" w:fill="E1DFDD"/>
    </w:rPr>
  </w:style>
  <w:style w:type="character" w:customStyle="1" w:styleId="122">
    <w:name w:val="ts-alignment-element"/>
    <w:basedOn w:val="6"/>
    <w:qFormat/>
    <w:uiPriority w:val="0"/>
  </w:style>
  <w:style w:type="paragraph" w:customStyle="1" w:styleId="123">
    <w:name w:val="Judul Sub Bab"/>
    <w:basedOn w:val="59"/>
    <w:link w:val="124"/>
    <w:qFormat/>
    <w:uiPriority w:val="0"/>
    <w:pPr>
      <w:autoSpaceDE w:val="0"/>
      <w:autoSpaceDN w:val="0"/>
      <w:adjustRightInd w:val="0"/>
      <w:spacing w:line="360" w:lineRule="auto"/>
      <w:jc w:val="both"/>
      <w:textAlignment w:val="center"/>
    </w:pPr>
    <w:rPr>
      <w:rFonts w:ascii="Cambria" w:hAnsi="Cambria" w:eastAsia="Calibri" w:cs="Calisto MT"/>
      <w:b/>
      <w:bCs/>
      <w:iCs/>
      <w:color w:val="000000"/>
      <w:sz w:val="24"/>
      <w:szCs w:val="20"/>
      <w:lang w:val="en-GB"/>
    </w:rPr>
  </w:style>
  <w:style w:type="character" w:customStyle="1" w:styleId="124">
    <w:name w:val="Judul Sub Bab Char"/>
    <w:link w:val="123"/>
    <w:qFormat/>
    <w:uiPriority w:val="0"/>
    <w:rPr>
      <w:rFonts w:ascii="Cambria" w:hAnsi="Cambria" w:cs="Calisto MT"/>
      <w:b/>
      <w:bCs/>
      <w:iCs/>
      <w:color w:val="000000"/>
      <w:sz w:val="24"/>
      <w:szCs w:val="20"/>
      <w:lang w:val="en-GB"/>
    </w:rPr>
  </w:style>
  <w:style w:type="character" w:customStyle="1" w:styleId="125">
    <w:name w:val="Sebutan Yang Belum Terselesaikan6"/>
    <w:basedOn w:val="6"/>
    <w:semiHidden/>
    <w:unhideWhenUsed/>
    <w:qFormat/>
    <w:uiPriority w:val="99"/>
    <w:rPr>
      <w:color w:val="605E5C"/>
      <w:shd w:val="clear" w:color="auto" w:fill="E1DFDD"/>
    </w:rPr>
  </w:style>
  <w:style w:type="character" w:customStyle="1" w:styleId="126">
    <w:name w:val="Unresolved Mention"/>
    <w:basedOn w:val="6"/>
    <w:semiHidden/>
    <w:unhideWhenUsed/>
    <w:qFormat/>
    <w:uiPriority w:val="99"/>
    <w:rPr>
      <w:color w:val="605E5C"/>
      <w:shd w:val="clear" w:color="auto" w:fill="E1DFDD"/>
    </w:rPr>
  </w:style>
  <w:style w:type="paragraph" w:customStyle="1" w:styleId="127">
    <w:name w:val="E-JOURNAL_Title"/>
    <w:basedOn w:val="1"/>
    <w:qFormat/>
    <w:uiPriority w:val="0"/>
    <w:pPr>
      <w:ind w:firstLine="567"/>
      <w:jc w:val="center"/>
    </w:pPr>
    <w:rPr>
      <w:b/>
      <w:sz w:val="22"/>
      <w:szCs w:val="22"/>
      <w:lang w:eastAsia="en-US"/>
    </w:rPr>
  </w:style>
  <w:style w:type="character" w:customStyle="1" w:styleId="128">
    <w:name w:val="Short Abstract"/>
    <w:qFormat/>
    <w:uiPriority w:val="0"/>
    <w:rPr>
      <w:rFonts w:ascii="Times New Roman" w:hAnsi="Times New Roman" w:eastAsia="Times New Roman"/>
      <w:sz w:val="20"/>
    </w:rPr>
  </w:style>
  <w:style w:type="table" w:customStyle="1" w:styleId="129">
    <w:name w:val="Plain Table 2"/>
    <w:basedOn w:val="7"/>
    <w:qFormat/>
    <w:uiPriority w:val="42"/>
    <w:pPr>
      <w:widowControl w:val="0"/>
      <w:autoSpaceDE w:val="0"/>
      <w:autoSpaceDN w:val="0"/>
      <w:spacing w:after="0" w:line="240" w:lineRule="auto"/>
    </w:pPr>
    <w:rPr>
      <w:rFonts w:asciiTheme="minorHAnsi" w:hAnsiTheme="minorHAnsi" w:eastAsiaTheme="minorHAnsi" w:cstheme="minorBidi"/>
      <w:lang w:val="en-US"/>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30">
    <w:name w:val="cf01"/>
    <w:basedOn w:val="6"/>
    <w:qFormat/>
    <w:uiPriority w:val="0"/>
    <w:rPr>
      <w:rFonts w:hint="default" w:ascii="Segoe UI" w:hAnsi="Segoe UI" w:cs="Segoe UI"/>
      <w:sz w:val="18"/>
      <w:szCs w:val="18"/>
      <w:shd w:val="clear" w:color="auto" w:fill="FFFFFF"/>
    </w:rPr>
  </w:style>
  <w:style w:type="table" w:customStyle="1" w:styleId="131">
    <w:name w:val="Table Grid2"/>
    <w:basedOn w:val="7"/>
    <w:qFormat/>
    <w:uiPriority w:val="39"/>
    <w:pPr>
      <w:spacing w:after="0" w:line="240" w:lineRule="auto"/>
    </w:pPr>
    <w:rPr>
      <w:rFonts w:eastAsia="Times New Roman" w:cs="Calibri"/>
      <w:lang w:val="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sub judul"/>
    <w:basedOn w:val="1"/>
    <w:link w:val="133"/>
    <w:qFormat/>
    <w:uiPriority w:val="0"/>
    <w:pPr>
      <w:tabs>
        <w:tab w:val="left" w:pos="567"/>
      </w:tabs>
      <w:spacing w:line="480" w:lineRule="auto"/>
      <w:jc w:val="both"/>
    </w:pPr>
    <w:rPr>
      <w:rFonts w:eastAsiaTheme="minorHAnsi"/>
      <w:szCs w:val="22"/>
      <w:lang w:val="en-US" w:eastAsia="en-US"/>
    </w:rPr>
  </w:style>
  <w:style w:type="character" w:customStyle="1" w:styleId="133">
    <w:name w:val="sub judul Char"/>
    <w:basedOn w:val="6"/>
    <w:link w:val="132"/>
    <w:qFormat/>
    <w:uiPriority w:val="0"/>
    <w:rPr>
      <w:rFonts w:ascii="Times New Roman" w:hAnsi="Times New Roman" w:cs="Times New Roman" w:eastAsiaTheme="minorHAnsi"/>
      <w:sz w:val="24"/>
      <w:lang w:val="en-US"/>
    </w:rPr>
  </w:style>
  <w:style w:type="paragraph" w:customStyle="1" w:styleId="134">
    <w:name w:val="gambar"/>
    <w:basedOn w:val="56"/>
    <w:link w:val="135"/>
    <w:qFormat/>
    <w:uiPriority w:val="0"/>
    <w:pPr>
      <w:suppressAutoHyphens w:val="0"/>
      <w:spacing w:line="480" w:lineRule="auto"/>
      <w:ind w:left="0"/>
      <w:jc w:val="center"/>
    </w:pPr>
    <w:rPr>
      <w:rFonts w:eastAsia="Times New Roman"/>
      <w:color w:val="auto"/>
      <w:lang w:val="en-US" w:eastAsia="en-US"/>
    </w:rPr>
  </w:style>
  <w:style w:type="character" w:customStyle="1" w:styleId="135">
    <w:name w:val="gambar Char"/>
    <w:basedOn w:val="6"/>
    <w:link w:val="134"/>
    <w:qFormat/>
    <w:uiPriority w:val="0"/>
    <w:rPr>
      <w:rFonts w:ascii="Times New Roman" w:hAnsi="Times New Roman" w:eastAsia="Times New Roman" w:cs="Times New Roman"/>
      <w:sz w:val="24"/>
      <w:szCs w:val="24"/>
      <w:lang w:val="en-US"/>
    </w:rPr>
  </w:style>
  <w:style w:type="character" w:customStyle="1" w:styleId="136">
    <w:name w:val="default_paragraph_font"/>
    <w:basedOn w:val="6"/>
    <w:qFormat/>
    <w:uiPriority w:val="0"/>
  </w:style>
  <w:style w:type="paragraph" w:customStyle="1" w:styleId="137">
    <w:name w:val="Normal1"/>
    <w:basedOn w:val="1"/>
    <w:qFormat/>
    <w:uiPriority w:val="0"/>
    <w:pPr>
      <w:spacing w:before="100" w:beforeAutospacing="1" w:after="100" w:afterAutospacing="1"/>
    </w:pPr>
  </w:style>
  <w:style w:type="character" w:customStyle="1" w:styleId="138">
    <w:name w:val="selectable-text"/>
    <w:basedOn w:val="6"/>
    <w:qFormat/>
    <w:uiPriority w:val="0"/>
  </w:style>
  <w:style w:type="character" w:customStyle="1" w:styleId="139">
    <w:name w:val="selectable-text1"/>
    <w:basedOn w:val="6"/>
    <w:qFormat/>
    <w:uiPriority w:val="0"/>
  </w:style>
  <w:style w:type="paragraph" w:customStyle="1" w:styleId="140">
    <w:name w:val="New paragraph"/>
    <w:basedOn w:val="1"/>
    <w:qFormat/>
    <w:uiPriority w:val="0"/>
    <w:pPr>
      <w:spacing w:line="480" w:lineRule="auto"/>
      <w:ind w:firstLine="720"/>
    </w:pPr>
    <w:rPr>
      <w:lang w:val="en-AU" w:eastAsia="zh-CN"/>
    </w:rPr>
  </w:style>
  <w:style w:type="paragraph" w:customStyle="1" w:styleId="141">
    <w:name w:val="IJASEIT Paragraph"/>
    <w:basedOn w:val="1"/>
    <w:qFormat/>
    <w:uiPriority w:val="0"/>
    <w:pPr>
      <w:adjustRightInd w:val="0"/>
      <w:snapToGrid w:val="0"/>
      <w:ind w:firstLine="216"/>
      <w:jc w:val="both"/>
    </w:pPr>
    <w:rPr>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Redmibook\OneDrive\Documents\SKRIPSI%20SHOFI\UHC\Proposal\DATA%20UHC\Rekap%20Peserta%20UHC.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Redmibook\OneDrive\Documents\SKRIPSI%20SHOFI\UHC\Proposal\DATA%20UHC\Rekap%20Peserta%20U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700" b="1" i="0" u="none" strike="noStrike" kern="1200" baseline="0">
                <a:solidFill>
                  <a:schemeClr val="tx1">
                    <a:lumMod val="75000"/>
                    <a:lumOff val="25000"/>
                  </a:schemeClr>
                </a:solidFill>
                <a:latin typeface="+mn-lt"/>
                <a:ea typeface="+mn-ea"/>
                <a:cs typeface="+mn-cs"/>
              </a:defRPr>
            </a:pPr>
            <a:r>
              <a:rPr lang="en-ID" sz="700"/>
              <a:t>UHC Semua Segmentasi di Pulau Bawean 2023</a:t>
            </a:r>
            <a:endParaRPr lang="en-ID" sz="700"/>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US" sz="6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'[Rekap Peserta UHC.xlsx]Sheet1'!$W$105:$X$106</c:f>
              <c:multiLvlStrCache>
                <c:ptCount val="2"/>
                <c:lvl>
                  <c:pt idx="0">
                    <c:v>Semester 1 2023</c:v>
                  </c:pt>
                  <c:pt idx="1">
                    <c:v>Semester 2 2023</c:v>
                  </c:pt>
                </c:lvl>
                <c:lvl>
                  <c:pt idx="0">
                    <c:v>Periode</c:v>
                  </c:pt>
                </c:lvl>
              </c:multiLvlStrCache>
            </c:multiLvlStrRef>
          </c:cat>
          <c:val>
            <c:numRef>
              <c:f>'[Rekap Peserta UHC.xlsx]Sheet1'!$W$107:$X$107</c:f>
              <c:numCache>
                <c:formatCode>General</c:formatCode>
                <c:ptCount val="2"/>
                <c:pt idx="0">
                  <c:v>87567</c:v>
                </c:pt>
                <c:pt idx="1">
                  <c:v>87865</c:v>
                </c:pt>
              </c:numCache>
            </c:numRef>
          </c:val>
          <c:smooth val="0"/>
        </c:ser>
        <c:ser>
          <c:idx val="1"/>
          <c:order val="1"/>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'[Rekap Peserta UHC.xlsx]Sheet1'!$W$105:$X$106</c:f>
              <c:multiLvlStrCache>
                <c:ptCount val="2"/>
                <c:lvl>
                  <c:pt idx="0">
                    <c:v>Semester 1 2023</c:v>
                  </c:pt>
                  <c:pt idx="1">
                    <c:v>Semester 2 2023</c:v>
                  </c:pt>
                </c:lvl>
                <c:lvl>
                  <c:pt idx="0">
                    <c:v>Periode</c:v>
                  </c:pt>
                </c:lvl>
              </c:multiLvlStrCache>
            </c:multiLvlStrRef>
          </c:cat>
          <c:val>
            <c:numRef>
              <c:f>'[Rekap Peserta UHC.xlsx]Sheet1'!$W$108:$X$108</c:f>
              <c:numCache>
                <c:formatCode>General</c:formatCode>
                <c:ptCount val="2"/>
              </c:numCache>
            </c:numRef>
          </c:val>
          <c:smooth val="0"/>
        </c:ser>
        <c:dLbls>
          <c:showLegendKey val="0"/>
          <c:showVal val="1"/>
          <c:showCatName val="0"/>
          <c:showSerName val="0"/>
          <c:showPercent val="0"/>
          <c:showBubbleSize val="0"/>
        </c:dLbls>
        <c:marker val="0"/>
        <c:smooth val="0"/>
        <c:axId val="407176915"/>
        <c:axId val="284820471"/>
      </c:lineChart>
      <c:catAx>
        <c:axId val="40717691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500" b="0" i="0" u="none" strike="noStrike" kern="1200" baseline="0">
                <a:solidFill>
                  <a:schemeClr val="tx1">
                    <a:lumMod val="65000"/>
                    <a:lumOff val="35000"/>
                  </a:schemeClr>
                </a:solidFill>
                <a:latin typeface="+mn-lt"/>
                <a:ea typeface="+mn-ea"/>
                <a:cs typeface="+mn-cs"/>
              </a:defRPr>
            </a:pPr>
          </a:p>
        </c:txPr>
        <c:crossAx val="284820471"/>
        <c:crosses val="autoZero"/>
        <c:auto val="1"/>
        <c:lblAlgn val="ctr"/>
        <c:lblOffset val="100"/>
        <c:noMultiLvlLbl val="0"/>
      </c:catAx>
      <c:valAx>
        <c:axId val="2848204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500" b="0" i="0" u="none" strike="noStrike" kern="1200" baseline="0">
                <a:solidFill>
                  <a:schemeClr val="tx1">
                    <a:lumMod val="65000"/>
                    <a:lumOff val="35000"/>
                  </a:schemeClr>
                </a:solidFill>
                <a:latin typeface="+mn-lt"/>
                <a:ea typeface="+mn-ea"/>
                <a:cs typeface="+mn-cs"/>
              </a:defRPr>
            </a:pPr>
          </a:p>
        </c:txPr>
        <c:crossAx val="4071769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700" b="1" i="0" u="none" strike="noStrike" kern="1200" baseline="0">
                <a:solidFill>
                  <a:schemeClr val="tx1">
                    <a:lumMod val="75000"/>
                    <a:lumOff val="25000"/>
                  </a:schemeClr>
                </a:solidFill>
                <a:latin typeface="+mn-lt"/>
                <a:ea typeface="+mn-ea"/>
                <a:cs typeface="+mn-cs"/>
              </a:defRPr>
            </a:pPr>
            <a:r>
              <a:rPr lang="en-ID" sz="700"/>
              <a:t>Jumlah Penduduk Pulau Bawean 2023</a:t>
            </a:r>
            <a:endParaRPr lang="en-ID" sz="700"/>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tx>
                <c:rich>
                  <a:bodyPr rot="0" spcFirstLastPara="0" vertOverflow="ellipsis" vert="horz" wrap="square" lIns="38100" tIns="19050" rIns="38100" bIns="19050" anchor="ctr" anchorCtr="1"/>
                  <a:lstStyle/>
                  <a:p>
                    <a:pPr>
                      <a:defRPr lang="en-US" sz="500" b="0" i="0" u="none" strike="noStrike" kern="1200" baseline="0">
                        <a:solidFill>
                          <a:schemeClr val="tx1">
                            <a:lumMod val="75000"/>
                            <a:lumOff val="25000"/>
                          </a:schemeClr>
                        </a:solidFill>
                        <a:latin typeface="+mn-lt"/>
                        <a:ea typeface="+mn-ea"/>
                        <a:cs typeface="+mn-cs"/>
                      </a:defRPr>
                    </a:pPr>
                    <a:r>
                      <a:rPr lang="en-US"/>
                      <a:t>83455</a:t>
                    </a:r>
                    <a:endParaRPr lang="en-US"/>
                  </a:p>
                </c:rich>
              </c:tx>
              <c:dLblPos val="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en-US" sz="500" b="0" i="0" u="none" strike="noStrike" kern="1200" baseline="0">
                        <a:solidFill>
                          <a:schemeClr val="tx1">
                            <a:lumMod val="75000"/>
                            <a:lumOff val="25000"/>
                          </a:schemeClr>
                        </a:solidFill>
                        <a:latin typeface="+mn-lt"/>
                        <a:ea typeface="+mn-ea"/>
                        <a:cs typeface="+mn-cs"/>
                      </a:defRPr>
                    </a:pPr>
                    <a:r>
                      <a:rPr lang="en-US"/>
                      <a:t>84218</a:t>
                    </a:r>
                    <a:endParaRPr lang="en-US"/>
                  </a:p>
                </c:rich>
              </c:tx>
              <c:dLblPos val="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5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'[Rekap Peserta UHC.xlsx]Sheet1'!$W$117:$X$117</c:f>
              <c:strCache>
                <c:ptCount val="2"/>
                <c:pt idx="0">
                  <c:v>Semester 1 2023</c:v>
                </c:pt>
                <c:pt idx="1">
                  <c:v>Semester 2 2023</c:v>
                </c:pt>
              </c:strCache>
            </c:strRef>
          </c:cat>
          <c:val>
            <c:numRef>
              <c:f>'[Rekap Peserta UHC.xlsx]Sheet1'!$W$118:$X$118</c:f>
              <c:numCache>
                <c:formatCode>General</c:formatCode>
                <c:ptCount val="2"/>
                <c:pt idx="0">
                  <c:v>82455</c:v>
                </c:pt>
                <c:pt idx="1">
                  <c:v>83218</c:v>
                </c:pt>
              </c:numCache>
            </c:numRef>
          </c:val>
          <c:smooth val="0"/>
        </c:ser>
        <c:ser>
          <c:idx val="1"/>
          <c:order val="1"/>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'[Rekap Peserta UHC.xlsx]Sheet1'!$W$117:$X$117</c:f>
              <c:strCache>
                <c:ptCount val="2"/>
                <c:pt idx="0">
                  <c:v>Semester 1 2023</c:v>
                </c:pt>
                <c:pt idx="1">
                  <c:v>Semester 2 2023</c:v>
                </c:pt>
              </c:strCache>
            </c:strRef>
          </c:cat>
          <c:val>
            <c:numRef>
              <c:f>'[Rekap Peserta UHC.xlsx]Sheet1'!$W$119:$X$119</c:f>
              <c:numCache>
                <c:formatCode>General</c:formatCode>
                <c:ptCount val="2"/>
              </c:numCache>
            </c:numRef>
          </c:val>
          <c:smooth val="0"/>
        </c:ser>
        <c:dLbls>
          <c:showLegendKey val="0"/>
          <c:showVal val="1"/>
          <c:showCatName val="0"/>
          <c:showSerName val="0"/>
          <c:showPercent val="0"/>
          <c:showBubbleSize val="0"/>
        </c:dLbls>
        <c:marker val="0"/>
        <c:smooth val="0"/>
        <c:axId val="522893975"/>
        <c:axId val="240849567"/>
      </c:lineChart>
      <c:catAx>
        <c:axId val="52289397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500" b="0" i="0" u="none" strike="noStrike" kern="1200" baseline="0">
                <a:solidFill>
                  <a:schemeClr val="tx1">
                    <a:lumMod val="65000"/>
                    <a:lumOff val="35000"/>
                  </a:schemeClr>
                </a:solidFill>
                <a:latin typeface="+mn-lt"/>
                <a:ea typeface="+mn-ea"/>
                <a:cs typeface="+mn-cs"/>
              </a:defRPr>
            </a:pPr>
          </a:p>
        </c:txPr>
        <c:crossAx val="240849567"/>
        <c:crosses val="autoZero"/>
        <c:auto val="1"/>
        <c:lblAlgn val="ctr"/>
        <c:lblOffset val="100"/>
        <c:noMultiLvlLbl val="0"/>
      </c:catAx>
      <c:valAx>
        <c:axId val="24084956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500" b="0" i="0" u="none" strike="noStrike" kern="1200" baseline="0">
                <a:solidFill>
                  <a:schemeClr val="tx1">
                    <a:lumMod val="65000"/>
                    <a:lumOff val="35000"/>
                  </a:schemeClr>
                </a:solidFill>
                <a:latin typeface="+mn-lt"/>
                <a:ea typeface="+mn-ea"/>
                <a:cs typeface="+mn-cs"/>
              </a:defRPr>
            </a:pPr>
          </a:p>
        </c:txPr>
        <c:crossAx val="522893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7721E12E493446AA46D0B7E2F8A226"/>
        <w:style w:val=""/>
        <w:category>
          <w:name w:val="Umum"/>
          <w:gallery w:val="placeholder"/>
        </w:category>
        <w:types>
          <w:type w:val="bbPlcHdr"/>
        </w:types>
        <w:behaviors>
          <w:behavior w:val="content"/>
        </w:behaviors>
        <w:description w:val=""/>
        <w:guid w:val="{E5CFE62E-EF6B-4C47-9D5C-F35CDDD5A53D}"/>
      </w:docPartPr>
      <w:docPartBody>
        <w:p w14:paraId="7EF5A78F">
          <w:pPr>
            <w:pStyle w:val="5"/>
          </w:pPr>
          <w:r>
            <w:rPr>
              <w:rStyle w:val="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48"/>
    <w:rsid w:val="00765358"/>
    <w:rsid w:val="00E64E48"/>
    <w:rsid w:val="00F87DE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rPr>
      <w:rFonts w:asciiTheme="minorHAnsi" w:hAnsiTheme="minorHAnsi" w:eastAsiaTheme="minorEastAsia" w:cstheme="minorBidi"/>
      <w:kern w:val="2"/>
      <w:sz w:val="24"/>
      <w:szCs w:val="24"/>
      <w:lang w:val="id-ID" w:eastAsia="id-ID"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 w:type="paragraph" w:customStyle="1" w:styleId="5">
    <w:name w:val="1B7721E12E493446AA46D0B7E2F8A226"/>
    <w:qFormat/>
    <w:uiPriority w:val="0"/>
    <w:rPr>
      <w:rFonts w:asciiTheme="minorHAnsi" w:hAnsiTheme="minorHAnsi" w:eastAsiaTheme="minorEastAsia" w:cstheme="minorBidi"/>
      <w:kern w:val="2"/>
      <w:sz w:val="24"/>
      <w:szCs w:val="24"/>
      <w:lang w:val="id-ID" w:eastAsia="id-ID"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Jef13</b:Tag>
    <b:SourceType>Book</b:SourceType>
    <b:Guid>{ADA42A52-4397-9C43-B00A-0D907D29A16B}</b:Guid>
    <b:Title>Civil Religion: Dimensi Sosial Politik Islam</b:Title>
    <b:Year>2013</b:Year>
    <b:Author>
      <b:Author>
        <b:NameList>
          <b:Person>
            <b:Last>Geovanie</b:Last>
            <b:First>Jeffrie</b:First>
          </b:Person>
        </b:NameList>
      </b:Author>
    </b:Author>
    <b:City>Jakarta</b:City>
    <b:Publisher>PT. Gramedia Oustaka Utama</b:Publisher>
    <b:RefOrder>29</b:RefOrder>
  </b:Source>
  <b:Source>
    <b:Tag>Ebr10</b:Tag>
    <b:SourceType>DocumentFromInternetSite</b:SourceType>
    <b:Guid>{65BA12CD-6163-A448-A4F4-2A05B46164F0}</b:Guid>
    <b:Author>
      <b:Author>
        <b:NameList>
          <b:Person>
            <b:Last>Moosa</b:Last>
            <b:First>Ebrahim</b:First>
          </b:Person>
        </b:NameList>
      </b:Author>
    </b:Author>
    <b:Title>Civil religion and beyond</b:Title>
    <b:InternetSiteTitle>https://tif.ssrc.org/</b:InternetSiteTitle>
    <b:Year>2010</b:Year>
    <b:Month>01</b:Month>
    <b:Day>22</b:Day>
    <b:URL>https://tif.ssrc.org/2010/01/22/civil-religion-and-beyond/</b:URL>
    <b:RefOrder>30</b:RefOrder>
  </b:Source>
  <b:Source>
    <b:Tag>Luc16</b:Tag>
    <b:SourceType>DocumentFromInternetSite</b:SourceType>
    <b:Guid>{AD350623-F50A-4B4E-8E47-4971D35F7B46}</b:Guid>
    <b:Author>
      <b:Author>
        <b:NameList>
          <b:Person>
            <b:Last>Swaine</b:Last>
            <b:First>Lucas</b:First>
          </b:Person>
        </b:NameList>
      </b:Author>
    </b:Author>
    <b:Title>Civil Religion</b:Title>
    <b:InternetSiteTitle>https://www.britannica.com/</b:InternetSiteTitle>
    <b:URL>https://www.britannica.com/topic/civil-religion</b:URL>
    <b:Year>2016</b:Year>
    <b:Month>Mei</b:Month>
    <b:Day>11</b:Day>
    <b:RefOrder>31</b:RefOrder>
  </b:Source>
  <b:Source>
    <b:Tag>ohn15</b:Tag>
    <b:SourceType>JournalArticle</b:SourceType>
    <b:Guid>{686ABA45-07AA-F446-B3CC-8095CAD4CDE6}</b:Guid>
    <b:Title>Civil Religion</b:Title>
    <b:Year>2015</b:Year>
    <b:Author>
      <b:Author>
        <b:NameList>
          <b:Person>
            <b:Last>Coleman</b:Last>
            <b:First>]ohn</b:First>
            <b:Middle>A.</b:Middle>
          </b:Person>
        </b:NameList>
      </b:Author>
    </b:Author>
    <b:JournalName>Sociological analyisis</b:JournalName>
    <b:Pages>67-77</b:Pages>
    <b:RefOrder>32</b:RefOrder>
  </b:Source>
  <b:Source>
    <b:Tag>Gai81</b:Tag>
    <b:SourceType>JournalArticle</b:SourceType>
    <b:Guid>{0B0F6DDA-895E-EC40-88E3-08D094720E7A}</b:Guid>
    <b:Author>
      <b:Author>
        <b:NameList>
          <b:Person>
            <b:Last>Gehrig</b:Last>
            <b:First>Gail</b:First>
          </b:Person>
        </b:NameList>
      </b:Author>
    </b:Author>
    <b:Title>The American Civil Religion Debate: A Source for Theory Construction</b:Title>
    <b:JournalName>Journal for the Scientific Study of Religion</b:JournalName>
    <b:Year>1981</b:Year>
    <b:Pages>51-63</b:Pages>
    <b:RefOrder>33</b:RefOrder>
  </b:Source>
  <b:Source>
    <b:Tag>Ron93</b:Tag>
    <b:SourceType>JournalArticle</b:SourceType>
    <b:Guid>{798DAA82-DFD4-9745-92AE-07092F700073}</b:Guid>
    <b:Author>
      <b:Author>
        <b:NameList>
          <b:Person>
            <b:Last>Beiner</b:Last>
            <b:First>Ronald</b:First>
          </b:Person>
        </b:NameList>
      </b:Author>
    </b:Author>
    <b:Title> Machiavelli, Hobbes, and Rousseau on Civil Religion</b:Title>
    <b:JournalName>Jstor</b:JournalName>
    <b:Year>1993</b:Year>
    <b:Pages>617-638</b:Pages>
    <b:RefOrder>34</b:RefOrder>
  </b:Source>
  <b:Source>
    <b:Tag>Cla06</b:Tag>
    <b:SourceType>Book</b:SourceType>
    <b:Guid>{3A67DE01-56CA-C04F-9CC5-DC26931387EE}</b:Guid>
    <b:Title>Religion, Identity and Politics in Northern Ireland</b:Title>
    <b:Year>2006</b:Year>
    <b:Author>
      <b:Author>
        <b:NameList>
          <b:Person>
            <b:Last>Mitchell</b:Last>
            <b:First>Claire</b:First>
          </b:Person>
        </b:NameList>
      </b:Author>
    </b:Author>
    <b:City>England</b:City>
    <b:Publisher>Ashgate Publishing Limited</b:Publisher>
    <b:RefOrder>35</b:RefOrder>
  </b:Source>
  <b:Source>
    <b:Tag>Rob91</b:Tag>
    <b:SourceType>Book</b:SourceType>
    <b:Guid>{CB27ECE0-C88D-D44F-A307-98864ED659BA}</b:Guid>
    <b:Author>
      <b:Author>
        <b:NameList>
          <b:Person>
            <b:Last>Bellah</b:Last>
            <b:First>Robert</b:First>
            <b:Middle>N.</b:Middle>
          </b:Person>
        </b:NameList>
      </b:Author>
    </b:Author>
    <b:Title>Beyond Belief: Essays on Religion in a Post-Traditionalist World</b:Title>
    <b:City>Berkeley</b:City>
    <b:Publisher>Univirsity of California Press</b:Publisher>
    <b:Year>1991</b:Year>
    <b:RefOrder>36</b:RefOrder>
  </b:Source>
  <b:Source>
    <b:Tag>Bel00</b:Tag>
    <b:SourceType>JournalArticle</b:SourceType>
    <b:Guid>{930A1C26-9C4A-4B47-BED4-7DC03C020D9C}</b:Guid>
    <b:Title>Civil Religion in America</b:Title>
    <b:Year>1967</b:Year>
    <b:Author>
      <b:Author>
        <b:NameList>
          <b:Person>
            <b:Last>Bellah</b:Last>
            <b:First>Robert</b:First>
            <b:Middle>N.</b:Middle>
          </b:Person>
        </b:NameList>
      </b:Author>
    </b:Author>
    <b:InternetSiteTitle>http://www.robertbellah.com</b:InternetSiteTitle>
    <b:URL>http://www.robertbellah.com/articles_5.htm</b:URL>
    <b:Month>januari</b:Month>
    <b:Day>2</b:Day>
    <b:JournalName>The MIT Press</b:JournalName>
    <b:Pages>21</b:Pages>
    <b:RefOrder>37</b:RefOrder>
  </b:Source>
  <b:Source>
    <b:Tag>The16</b:Tag>
    <b:SourceType>DocumentFromInternetSite</b:SourceType>
    <b:Guid>{6A47AB07-A7FB-7941-B07D-CEBB60F326EA}</b:Guid>
    <b:Author>
      <b:Author>
        <b:NameList>
          <b:Person>
            <b:Last>Editor</b:Last>
            <b:First>The</b:First>
          </b:Person>
        </b:NameList>
      </b:Author>
    </b:Author>
    <b:Title>Civil Religion</b:Title>
    <b:InternetSiteTitle>https://daily.jstor.org/</b:InternetSiteTitle>
    <b:URL>https://daily.jstor.org/civil-religion/</b:URL>
    <b:Year>2016</b:Year>
    <b:Month>Februari</b:Month>
    <b:Day>8</b:Day>
    <b:RefOrder>38</b:RefOrder>
  </b:Source>
  <b:Source>
    <b:Tag>Kar18</b:Tag>
    <b:SourceType>DocumentFromInternetSite</b:SourceType>
    <b:Guid>{152E1206-F807-C146-8CC4-8F8FFE321C46}</b:Guid>
    <b:Author>
      <b:Author>
        <b:NameList>
          <b:Person>
            <b:Last>Thompson</b:Last>
            <b:First>Karl</b:First>
          </b:Person>
        </b:NameList>
      </b:Author>
    </b:Author>
    <b:Title>Civil Religion</b:Title>
    <b:InternetSiteTitle>https://revisesociology.com/</b:InternetSiteTitle>
    <b:URL>https://revisesociology.com/2018/08/06/civil-religion/</b:URL>
    <b:Year>2018</b:Year>
    <b:Month>Agustus</b:Month>
    <b:Day>6</b:Day>
    <b:RefOrder>39</b:RefOrder>
  </b:Source>
  <b:Source>
    <b:Tag>And13</b:Tag>
    <b:SourceType>DocumentFromInternetSite</b:SourceType>
    <b:Guid>{88F52447-DABF-FE4B-8AE3-AE972BB231A5}</b:Guid>
    <b:Author>
      <b:Author>
        <b:NameList>
          <b:Person>
            <b:Last>Brown</b:Last>
            <b:First>Andrew</b:First>
          </b:Person>
        </b:NameList>
      </b:Author>
    </b:Author>
    <b:Title>What is Religion?, part 1: Civil Religion and the State</b:Title>
    <b:InternetSiteTitle>https://www.theguardian.com/</b:InternetSiteTitle>
    <b:URL>https://www.theguardian.com/commentisfree/2013/aug/26/what-is-religion-civil-state</b:URL>
    <b:Year>2013</b:Year>
    <b:Month>Agustus</b:Month>
    <b:Day>26</b:Day>
    <b:RefOrder>40</b:RefOrder>
  </b:Source>
  <b:Source>
    <b:Tag>Sur11</b:Tag>
    <b:SourceType>Book</b:SourceType>
    <b:Guid>{C37C9AD9-4276-4723-BFA2-F75E6870ADAD}</b:Guid>
    <b:Author>
      <b:Author>
        <b:Corporate>Surbakti, Supriyanto, Asyari</b:Corporate>
      </b:Author>
    </b:Author>
    <b:Title>Meningkatkan Keterwakilan Perempuan: Penguatan Kebijakan Afirmasi</b:Title>
    <b:Year>2011</b:Year>
    <b:City>Jakarta</b:City>
    <b:Publisher>Kemitraan Bagi Pembaharuan Tata Pemerintahan</b:Publisher>
    <b:RefOrder>41</b:RefOrder>
  </b:Source>
  <b:Source>
    <b:Tag>Lov08</b:Tag>
    <b:SourceType>Book</b:SourceType>
    <b:Guid>{65010DD5-C7BC-43B0-ACC5-5E338CD80281}</b:Guid>
    <b:Author>
      <b:Author>
        <b:NameList>
          <b:Person>
            <b:Last>Lovenduski</b:Last>
            <b:First>Joni</b:First>
          </b:Person>
        </b:NameList>
      </b:Author>
    </b:Author>
    <b:Title>Politik Berparas Perempuan</b:Title>
    <b:Year>2008</b:Year>
    <b:City>Yogyakarta</b:City>
    <b:Publisher>Kanisius</b:Publisher>
    <b:RefOrder>42</b:RefOrder>
  </b:Source>
  <b:Source>
    <b:Tag>Win17</b:Tag>
    <b:SourceType>Book</b:SourceType>
    <b:Guid>{52FA3E97-88D8-4766-8D01-2A54521DC6A9}</b:Guid>
    <b:Author>
      <b:Author>
        <b:NameList>
          <b:Person>
            <b:Last>Windyastuti</b:Last>
            <b:First>Dwi</b:First>
          </b:Person>
        </b:NameList>
      </b:Author>
    </b:Author>
    <b:Title>Perempuan Dalam Kontestasi Politik : Representasi Deskripti Perempuan Pada Pileg 2014 dan Pilkada 2015</b:Title>
    <b:Year>2017</b:Year>
    <b:Publisher>Jurnal Ilmu Politik</b:Publisher>
    <b:Volume>22</b:Volume>
    <b:NumberVolumes>1</b:NumberVolumes>
    <b:Pages>75-90</b:Pages>
    <b:RefOrder>43</b:RefOrder>
  </b:Source>
  <b:Source>
    <b:Tag>Nor95</b:Tag>
    <b:SourceType>Book</b:SourceType>
    <b:Guid>{2EB240A6-8F45-4F20-96FE-B2C51E0C06FF}</b:Guid>
    <b:Title>Political Recruitmen: Gender, Race and Class in the British Parliament</b:Title>
    <b:Year>1995</b:Year>
    <b:Author>
      <b:Author>
        <b:NameList>
          <b:Person>
            <b:Last>Norris</b:Last>
            <b:First>P</b:First>
          </b:Person>
          <b:Person>
            <b:Last>Lovenduski</b:Last>
            <b:First>J</b:First>
          </b:Person>
        </b:NameList>
      </b:Author>
    </b:Author>
    <b:City>London</b:City>
    <b:Publisher>Cambridge University Press</b:Publisher>
    <b:RefOrder>44</b:RefOrder>
  </b:Source>
  <b:Source>
    <b:Tag>Tim11</b:Tag>
    <b:SourceType>Book</b:SourceType>
    <b:Guid>{C0098F07-A6B1-41F6-8B2D-FF3E30607043}</b:Guid>
    <b:Author>
      <b:Author>
        <b:Corporate>Tim Peneliti Ilmu Politik FISIP Universitas Airlangga</b:Corporate>
      </b:Author>
    </b:Author>
    <b:Title>Perempan dalam Pemilukada: Kajian Tentang Kandidasi Perempuan di Jawa Timur dan Sulawesi Utara</b:Title>
    <b:Year>2011</b:Year>
    <b:City>Jakarta</b:City>
    <b:Publisher>Kemitraan bagi Pembaruan Tata Pemerintahan di Indonesia</b:Publisher>
    <b:RefOrder>45</b:RefOrder>
  </b:Source>
  <b:Source>
    <b:Tag>War04</b:Tag>
    <b:SourceType>JournalArticle</b:SourceType>
    <b:Guid>{A6C86CFA-8F9A-4E44-A3B6-316D49661CEE}</b:Guid>
    <b:Title>The Transformation of Democratic Representation</b:Title>
    <b:Year>2004</b:Year>
    <b:Author>
      <b:Author>
        <b:NameList>
          <b:Person>
            <b:Last>Warren</b:Last>
            <b:First>Mark</b:First>
          </b:Person>
          <b:Person>
            <b:Last>Castiglione</b:Last>
            <b:First>Dario</b:First>
          </b:Person>
        </b:NameList>
      </b:Author>
    </b:Author>
    <b:JournalName>Democracy&amp;Society</b:JournalName>
    <b:Pages>20-22</b:Pages>
    <b:Volume>2</b:Volume>
    <b:Issue>1</b:Issue>
    <b:RefOrder>46</b:RefOrder>
  </b:Source>
  <b:Source>
    <b:Tag>Eka14</b:Tag>
    <b:SourceType>JournalArticle</b:SourceType>
    <b:Guid>{9F376A86-12C8-44B3-9E77-9E0CD32CEAA4}</b:Guid>
    <b:Author>
      <b:Author>
        <b:NameList>
          <b:Person>
            <b:Last>Ekawati</b:Last>
            <b:First>Esty</b:First>
          </b:Person>
        </b:NameList>
      </b:Author>
    </b:Author>
    <b:Title>Dari Representasi Politik Formal Ke Representasi Poitik Non-Elektoral</b:Title>
    <b:JournalName>Jurnal Penelitian Politik</b:JournalName>
    <b:Year>2014</b:Year>
    <b:Pages>129-16</b:Pages>
    <b:Volume>11</b:Volume>
    <b:Issue>2</b:Issue>
    <b:RefOrder>47</b:RefOrder>
  </b:Source>
  <b:Source>
    <b:Tag>Sam15</b:Tag>
    <b:SourceType>Book</b:SourceType>
    <b:Guid>{90B0F72A-EBAF-4C50-9D2D-F3A9A459494E}</b:Guid>
    <b:Author>
      <b:Author>
        <b:NameList>
          <b:Person>
            <b:Last>Samosir</b:Last>
            <b:First>H</b:First>
          </b:Person>
          <b:Person>
            <b:Last>Ikasarana</b:Last>
            <b:First>J</b:First>
          </b:Person>
          <b:Person>
            <b:Last>Novitasari</b:Last>
            <b:First>M</b:First>
          </b:Person>
          <b:Person>
            <b:Last>Margret</b:Last>
            <b:First>A</b:First>
          </b:Person>
          <b:Person>
            <b:Last>Panjaitan</b:Last>
            <b:First>Y</b:First>
          </b:Person>
        </b:NameList>
      </b:Author>
    </b:Author>
    <b:Title>Potret Keterpilihan Anggota Legislatif Hasil Pemilu 2014</b:Title>
    <b:Year>2015</b:Year>
    <b:City>Depok</b:City>
    <b:Publisher>Puskapol UI</b:Publisher>
    <b:RefOrder>48</b:RefOrder>
  </b:Source>
  <b:Source>
    <b:Tag>Mar18</b:Tag>
    <b:SourceType>Book</b:SourceType>
    <b:Guid>{423F71DF-E51E-4735-9D01-49BC2D311583}</b:Guid>
    <b:Author>
      <b:Author>
        <b:NameList>
          <b:Person>
            <b:Last>Margret</b:Last>
            <b:First>A</b:First>
          </b:Person>
          <b:Person>
            <b:Last>Panjaitan</b:Last>
            <b:First>Y</b:First>
          </b:Person>
          <b:Person>
            <b:Last>Novitasari</b:Last>
            <b:First>M</b:First>
          </b:Person>
          <b:Person>
            <b:Last>Ikasarana</b:Last>
            <b:First>J</b:First>
          </b:Person>
        </b:NameList>
      </b:Author>
    </b:Author>
    <b:Title>Menyoal Data Representasi Perempuan di Lima Ranah</b:Title>
    <b:Year>2018</b:Year>
    <b:City>Depok</b:City>
    <b:Publisher>Cakra Wikara Indonesia</b:Publisher>
    <b:RefOrder>49</b:RefOrder>
  </b:Source>
  <b:Source>
    <b:Tag>Win19</b:Tag>
    <b:SourceType>Report</b:SourceType>
    <b:Guid>{BCC4AB20-EDEF-4686-BBAF-3715BF52373F}</b:Guid>
    <b:Title>Desiminasi Hasil Riset "Keterwakilan Perempuan Pada Pemilu Legislatif 2019 di Propinsi Jawa Timur": Kajian Tentang Seleksi Perempuan di Parpol. Kerja Sama Peneliti dan KPU Jawa Timur</b:Title>
    <b:Year>2019</b:Year>
    <b:Author>
      <b:Author>
        <b:NameList>
          <b:Person>
            <b:Last>Windyastuti</b:Last>
            <b:First>D</b:First>
          </b:Person>
          <b:Person>
            <b:Last>Aminah</b:Last>
            <b:First>S</b:First>
          </b:Person>
          <b:Person>
            <b:Last>Nugroho</b:Last>
            <b:First>K</b:First>
          </b:Person>
        </b:NameList>
      </b:Author>
    </b:Author>
    <b:RefOrder>50</b:RefOrder>
  </b:Source>
  <b:Source>
    <b:Tag>Per18</b:Tag>
    <b:SourceType>Book</b:SourceType>
    <b:Guid>{FCED6F35-AA42-401B-AF9A-2EB1835AB8B0}</b:Guid>
    <b:Title>Peta Pencalonan Perempuan di Pemilu 2019</b:Title>
    <b:Year>2018</b:Year>
    <b:Publisher>Perludem</b:Publisher>
    <b:City>Jakarta</b:City>
    <b:Author>
      <b:Author>
        <b:Corporate>Perludem</b:Corporate>
      </b:Author>
    </b:Author>
    <b:RefOrder>51</b:RefOrder>
  </b:Source>
  <b:Source>
    <b:Tag>Cak19</b:Tag>
    <b:SourceType>DocumentFromInternetSite</b:SourceType>
    <b:Guid>{495A9598-740B-450C-8919-7E76B634B164}</b:Guid>
    <b:Year>2019</b:Year>
    <b:Author>
      <b:Author>
        <b:Corporate>Cakra Wikara Indonesia</b:Corporate>
      </b:Author>
    </b:Author>
    <b:InternetSiteTitle>https://cakrawikara.id/2019/08/prospek-keterwakilan-perempuan-di-posisi-pimpinan-lembaga-legislatif-membaca-hasil-pemilu-2019/</b:InternetSiteTitle>
    <b:YearAccessed>2019</b:YearAccessed>
    <b:RefOrder>52</b:RefOrder>
  </b:Source>
  <b:Source>
    <b:Tag>Set09</b:Tag>
    <b:SourceType>JournalArticle</b:SourceType>
    <b:Guid>{5E22415F-54E6-4DA5-B7E3-1FE3688AA6FC}</b:Guid>
    <b:Author>
      <b:Author>
        <b:NameList>
          <b:Person>
            <b:Last>Setyaningrum</b:Last>
            <b:First>Arie</b:First>
          </b:Person>
        </b:NameList>
      </b:Author>
    </b:Author>
    <b:Title>Memetakan Lokasi Bagi Politik Identitas Dalam Wacana Politik Poskolonial Dalam Politik Perlawanan</b:Title>
    <b:Year>2005</b:Year>
    <b:City>Yogyakarta</b:City>
    <b:Publisher>Institute For Research and Empowerment</b:Publisher>
    <b:JournalName>Mandatory</b:JournalName>
    <b:Pages>13-34</b:Pages>
    <b:Volume>2</b:Volume>
    <b:Issue>2 : Politik Perlawanan</b:Issue>
    <b:RefOrder>53</b:RefOrder>
  </b:Source>
  <b:Source>
    <b:Tag>Cas10</b:Tag>
    <b:SourceType>Book</b:SourceType>
    <b:Guid>{0733CF8A-DF64-4223-8DF6-88CCE57905D1}</b:Guid>
    <b:Author>
      <b:Author>
        <b:NameList>
          <b:Person>
            <b:Last>Castells</b:Last>
            <b:First>Manuel</b:First>
          </b:Person>
        </b:NameList>
      </b:Author>
    </b:Author>
    <b:Title>The Power Of Identity</b:Title>
    <b:City>Oxford</b:City>
    <b:CountryRegion>United Kingdom</b:CountryRegion>
    <b:Year>2010</b:Year>
    <b:Publisher>Blackwell Publishing Ltd</b:Publisher>
    <b:RefOrder>54</b:RefOrder>
  </b:Source>
  <b:Source>
    <b:Tag>Bucta</b:Tag>
    <b:SourceType>Book</b:SourceType>
    <b:Guid>{DE06FAFD-D956-4FBA-8317-E0BBAFFE04CB}</b:Guid>
    <b:Author>
      <b:Author>
        <b:NameList>
          <b:Person>
            <b:Last>Buchari</b:Last>
            <b:First>Sri</b:First>
            <b:Middle>Astuti</b:Middle>
          </b:Person>
        </b:NameList>
      </b:Author>
    </b:Author>
    <b:Title>Kebangkitan Etnis Menuju Politik Identitas</b:Title>
    <b:Year>2014</b:Year>
    <b:City>Jakarta</b:City>
    <b:Publisher>Yayasan Pustaka Obor Indonesia.</b:Publisher>
    <b:RefOrder>55</b:RefOrder>
  </b:Source>
  <b:Source>
    <b:Tag>ADa82</b:Tag>
    <b:SourceType>Book</b:SourceType>
    <b:Guid>{0017C02F-88C6-4814-86EE-C0A011C46C9A}</b:Guid>
    <b:Author>
      <b:Author>
        <b:NameList>
          <b:Person>
            <b:Last>A. Dahl</b:Last>
            <b:First>Robert</b:First>
          </b:Person>
        </b:NameList>
      </b:Author>
    </b:Author>
    <b:Title>Dilemmas Of Pluralist Democracy Autonomy vs Control (Terj)</b:Title>
    <b:Year>1982</b:Year>
    <b:City>Jakarta</b:City>
    <b:Publisher>CV. Rajawali</b:Publisher>
    <b:RefOrder>56</b:RefOrder>
  </b:Source>
  <b:Source>
    <b:Tag>Jac03</b:Tag>
    <b:SourceType>Book</b:SourceType>
    <b:Guid>{37A42D44-4AC1-489C-B58D-709A7BBD947A}</b:Guid>
    <b:Author>
      <b:Author>
        <b:NameList>
          <b:Person>
            <b:Last>Snyder</b:Last>
            <b:First>Jack</b:First>
          </b:Person>
        </b:NameList>
      </b:Author>
    </b:Author>
    <b:Title>Dari Pemungutan Suara ke Pertumpahan Darah Demokratisasi dan Konflik Nasionalis</b:Title>
    <b:Year>2003</b:Year>
    <b:City>Jakarta</b:City>
    <b:Publisher>Kepustakaan Populer Gramedia</b:Publisher>
    <b:RefOrder>57</b:RefOrder>
  </b:Source>
  <b:Source>
    <b:Tag>Puj92</b:Tag>
    <b:SourceType>Book</b:SourceType>
    <b:Guid>{A05A6191-3BD8-4B0E-98EC-4E8E21380631}</b:Guid>
    <b:Author>
      <b:Author>
        <b:NameList>
          <b:Person>
            <b:Last>Pujosuwarno</b:Last>
            <b:First>Sayekti</b:First>
          </b:Person>
        </b:NameList>
      </b:Author>
    </b:Author>
    <b:Title>Petunjuk Praktis Pelaksanaan Konseling</b:Title>
    <b:Year>1992</b:Year>
    <b:City>Yogyakarta</b:City>
    <b:Publisher>Menara Mas Offset</b:Publisher>
    <b:Pages>34</b:Pages>
    <b:RefOrder>58</b:RefOrder>
  </b:Source>
  <b:Source>
    <b:Tag>Her04</b:Tag>
    <b:SourceType>Book</b:SourceType>
    <b:Guid>{332E2CAD-5678-4FBD-AF7A-21799058B220}</b:Guid>
    <b:Author>
      <b:Author>
        <b:NameList>
          <b:Person>
            <b:Last>Herdiansyah</b:Last>
            <b:First>Haris</b:First>
          </b:Person>
        </b:NameList>
      </b:Author>
    </b:Author>
    <b:Title>Metodologi Penelitian Kualitatif untuk Ilmu-Ilmu Sosial</b:Title>
    <b:Year>2010</b:Year>
    <b:City>Jakarta</b:City>
    <b:Publisher>Penerbit Salemba Humanika</b:Publisher>
    <b:Pages>75</b:Pages>
    <b:RefOrder>59</b:RefOrder>
  </b:Source>
  <b:Source>
    <b:Tag>Har09</b:Tag>
    <b:SourceType>Book</b:SourceType>
    <b:Guid>{D6002DDB-3F51-4DD4-A99F-6354754D73C0}</b:Guid>
    <b:Author>
      <b:Author>
        <b:NameList>
          <b:Person>
            <b:Last>Harrison</b:Last>
            <b:First>Lisa</b:First>
          </b:Person>
        </b:NameList>
      </b:Author>
    </b:Author>
    <b:Title>Metodologi Penelitian Politik</b:Title>
    <b:Year>2009</b:Year>
    <b:City>Jakarta</b:City>
    <b:Publisher>Kencana</b:Publisher>
    <b:Pages>124-125</b:Pages>
    <b:RefOrder>60</b:RefOrder>
  </b:Source>
  <b:Source>
    <b:Tag>Wid09</b:Tag>
    <b:SourceType>Book</b:SourceType>
    <b:Guid>{9636D27A-B83C-4FC2-A04D-ABEC8AAF9E2F}</b:Guid>
    <b:Author>
      <b:Author>
        <b:NameList>
          <b:Person>
            <b:Last>Widayanti</b:Last>
            <b:First>Titik</b:First>
          </b:Person>
        </b:NameList>
      </b:Author>
      <b:Editor>
        <b:NameList>
          <b:Person>
            <b:Last>Palindungan</b:Last>
            <b:First>Utan</b:First>
          </b:Person>
        </b:NameList>
      </b:Editor>
    </b:Author>
    <b:Title>Politik Subaltern: Pergulatan Identitas Waria</b:Title>
    <b:Year>2009</b:Year>
    <b:City>Yogyakarta</b:City>
    <b:Publisher>Research Center For Politics and Government (PolGov)</b:Publisher>
    <b:RefOrder>61</b:RefOrder>
  </b:Source>
  <b:Source>
    <b:Tag>Bar05</b:Tag>
    <b:SourceType>Book</b:SourceType>
    <b:Guid>{25E935FD-D96B-4A9E-866F-59C313F18957}</b:Guid>
    <b:Author>
      <b:Author>
        <b:NameList>
          <b:Person>
            <b:Last>Barker</b:Last>
            <b:First>Chris</b:First>
          </b:Person>
        </b:NameList>
      </b:Author>
    </b:Author>
    <b:Title>Cultural Studies</b:Title>
    <b:Year>2005</b:Year>
    <b:City>Yogyakarta</b:City>
    <b:Publisher>Kreasi Wacana</b:Publisher>
    <b:RefOrder>62</b:RefOrder>
  </b:Source>
  <b:Source>
    <b:Tag>Hel95</b:Tag>
    <b:SourceType>Book</b:SourceType>
    <b:Guid>{FC6D77E3-E6A7-4314-83F0-81C34A97276C}</b:Guid>
    <b:Author>
      <b:Author>
        <b:NameList>
          <b:Person>
            <b:Last>Heller</b:Last>
            <b:First>Agnes</b:First>
            <b:Middle>dan Punsher, Sonja</b:Middle>
          </b:Person>
        </b:NameList>
      </b:Author>
    </b:Author>
    <b:Title>Biopolitical Ideologies an their Impact on the New Social Movements : A New Handbook of Political Societies</b:Title>
    <b:BookTitle>A New Handbook of Political Societies</b:BookTitle>
    <b:Year>1995</b:Year>
    <b:City>Oxford</b:City>
    <b:Publisher>Blackwell</b:Publisher>
    <b:RefOrder>63</b:RefOrder>
  </b:Source>
  <b:Source>
    <b:Tag>Kri09</b:Tag>
    <b:SourceType>Book</b:SourceType>
    <b:Guid>{B98FA636-032A-42F1-B438-07CA4C0D9BE9}</b:Guid>
    <b:Author>
      <b:Author>
        <b:NameList>
          <b:Person>
            <b:Last>Kristianus</b:Last>
          </b:Person>
        </b:NameList>
      </b:Author>
    </b:Author>
    <b:Title>isah Penting Dari Kampung Orang Dayak dan Madura di Sebangki</b:Title>
    <b:Year>2009</b:Year>
    <b:City>Pontianak</b:City>
    <b:Publisher>STAIN Pontianak Press</b:Publisher>
    <b:RefOrder>64</b:RefOrder>
  </b:Source>
  <b:Source>
    <b:Tag>Sub09</b:Tag>
    <b:SourceType>JournalArticle</b:SourceType>
    <b:Guid>{6F90EA2A-C678-4FD2-B041-EF169FC7B730}</b:Guid>
    <b:Title>Ethnic Politics and the Rise of the Dayak Bureaucrats in Local Election</b:Title>
    <b:Year>2009</b:Year>
    <b:Author>
      <b:Author>
        <b:NameList>
          <b:Person>
            <b:Last>Subianto</b:Last>
            <b:First>Benny</b:First>
          </b:Person>
        </b:NameList>
      </b:Author>
      <b:BookAuthor>
        <b:NameList>
          <b:Person>
            <b:Last>ISE</b:Last>
          </b:Person>
        </b:NameList>
      </b:BookAuthor>
    </b:Author>
    <b:Pages>355</b:Pages>
    <b:JournalName>ISEAS</b:JournalName>
    <b:RefOrder>65</b:RefOrder>
  </b:Source>
  <b:Source>
    <b:Tag>Sof14</b:Tag>
    <b:SourceType>Book</b:SourceType>
    <b:Guid>{9A66D5D4-0BE1-4385-8448-9487D574B702}</b:Guid>
    <b:Author>
      <b:Author>
        <b:NameList>
          <b:Person>
            <b:Last>Sjaf</b:Last>
            <b:First>Sofyan</b:First>
          </b:Person>
        </b:NameList>
      </b:Author>
    </b:Author>
    <b:Title>Politik Etnik Dinamika Politik Lokal di Kendari</b:Title>
    <b:Year>2014</b:Year>
    <b:City>Jakarta</b:City>
    <b:Publisher>Yayasan Pustaka Obor Indonesia</b:Publisher>
    <b:RefOrder>66</b:RefOrder>
  </b:Source>
  <b:Source>
    <b:Tag>Kat18</b:Tag>
    <b:SourceType>InternetSite</b:SourceType>
    <b:Guid>{BCB825DD-6340-4ADF-AE32-171CC5D0597E}</b:Guid>
    <b:Title>https://databoks.katadata.co.id/datapublish/2018/01/24/berapa-jumlah-penduduk-jakarta</b:Title>
    <b:Year>2018</b:Year>
    <b:Author>
      <b:Author>
        <b:Corporate>Katadata.co.id</b:Corporate>
      </b:Author>
    </b:Author>
    <b:InternetSiteTitle>katadata.co.id</b:InternetSiteTitle>
    <b:Month>January</b:Month>
    <b:Day>24</b:Day>
    <b:URL>https://databoks.katadata.co.id/datapublish/2018/01/24/berapa-jumlah-penduduk-jakarta</b:URL>
    <b:RefOrder>67</b:RefOrder>
  </b:Source>
  <b:Source>
    <b:Tag>BPS17</b:Tag>
    <b:SourceType>Report</b:SourceType>
    <b:Guid>{D896DACE-2C56-4427-BBB2-40801150C86E}</b:Guid>
    <b:Title>Jakarta Dalam Angka</b:Title>
    <b:Year>2017</b:Year>
    <b:Author>
      <b:Author>
        <b:Corporate>BPS DKI Jakarta</b:Corporate>
      </b:Author>
    </b:Author>
    <b:Publisher>BPS DKI Jakarta</b:Publisher>
    <b:City>52</b:City>
    <b:RefOrder>68</b:RefOrder>
  </b:Source>
  <b:Source>
    <b:Tag>Din17</b:Tag>
    <b:SourceType>Report</b:SourceType>
    <b:Guid>{E801BAB5-BCAB-46C8-B4A3-8646595AFFEF}</b:Guid>
    <b:Title>Data Jumlah Penduduk Provinsi DKI Jakarta Berdasarkan Kelompok Usia dan Jenis Kelamin</b:Title>
    <b:Year>2017</b:Year>
    <b:Publisher>https://data.jakarta.go.id/dataset/data-jumlah-penduduk-provinsi-dki-jakarta-berdasarkan-kelompok-usia-per-kelurahan</b:Publisher>
    <b:City>DKI Jakarta</b:City>
    <b:Author>
      <b:Author>
        <b:NameList>
          <b:Person>
            <b:Last>Dinas Kependudukan dan Catatan Sipil </b:Last>
            <b:First>Provinsi DKI </b:First>
          </b:Person>
        </b:NameList>
      </b:Author>
    </b:Author>
    <b:RefOrder>69</b:RefOrder>
  </b:Source>
  <b:Source>
    <b:Tag>Kom20</b:Tag>
    <b:SourceType>InternetSite</b:SourceType>
    <b:Guid>{C2DD76DF-7B3D-4B72-B907-096FB1D39396}</b:Guid>
    <b:Title>kpu.go.id </b:Title>
    <b:Year>2020</b:Year>
    <b:Author>
      <b:Author>
        <b:Corporate>Komisi Pemilihan Umum</b:Corporate>
      </b:Author>
    </b:Author>
    <b:InternetSiteTitle>kpu.go.id</b:InternetSiteTitle>
    <b:Month>April</b:Month>
    <b:Day>20</b:Day>
    <b:URL>https://pilkada2017.kpu.go.id/pemilih/dpt/1/DKI%20JAKARTA</b:URL>
    <b:RefOrder>70</b:RefOrder>
  </b:Source>
  <b:Source>
    <b:Tag>Lan07</b:Tag>
    <b:SourceType>Book</b:SourceType>
    <b:Guid>{1E7610CF-8A4C-4397-A03D-A7AF761AA1FB}</b:Guid>
    <b:Author>
      <b:Author>
        <b:NameList>
          <b:Person>
            <b:Last>Castell</b:Last>
            <b:First>Lance</b:First>
          </b:Person>
        </b:NameList>
      </b:Author>
    </b:Author>
    <b:Title>Profil Etnik Jakarta</b:Title>
    <b:Year>2007</b:Year>
    <b:City>Depok</b:City>
    <b:Publisher>Masup Jakarta</b:Publisher>
    <b:RefOrder>71</b:RefOrder>
  </b:Source>
  <b:Source>
    <b:Tag>Can17</b:Tag>
    <b:SourceType>JournalArticle</b:SourceType>
    <b:Guid>{DFF893D8-503C-40C5-8F31-7EE1FD7783E6}</b:Guid>
    <b:Title>Menuju Masyarakat Urban: Sejarah Pendatang di Kota Jakarta Pasca Kemerdekaan (1949-1970)</b:Title>
    <b:Year>Januari 2017</b:Year>
    <b:Author>
      <b:Author>
        <b:NameList>
          <b:Person>
            <b:Last>Candiwidoro</b:Last>
            <b:First>Rahadian</b:First>
            <b:Middle>Ranakamuksa</b:Middle>
          </b:Person>
        </b:NameList>
      </b:Author>
    </b:Author>
    <b:JournalName>Jurnal Pemikiran Sosiologi</b:JournalName>
    <b:Pages>65</b:Pages>
    <b:Volume>4 No 1</b:Volume>
    <b:RefOrder>72</b:RefOrder>
  </b:Source>
  <b:Source>
    <b:Tag>Pin17</b:Tag>
    <b:SourceType>InternetSite</b:SourceType>
    <b:Guid>{B4032633-091A-4808-B650-20D1151AE287}</b:Guid>
    <b:Author>
      <b:Author>
        <b:Corporate>Pinter Politik</b:Corporate>
      </b:Author>
    </b:Author>
    <b:Title>Komposisi Suku Bangsa DKI Jakarta</b:Title>
    <b:InternetSiteTitle>www.pinterpolitik.com</b:InternetSiteTitle>
    <b:Year>2017</b:Year>
    <b:Month>Oktober</b:Month>
    <b:Day>26</b:Day>
    <b:URL>https://www.pinterpolitik.com/komposisi-suku-bangsa-dki-jakarta/</b:URL>
    <b:RefOrder>73</b:RefOrder>
  </b:Source>
  <b:Source>
    <b:Tag>BPS</b:Tag>
    <b:SourceType>InternetSite</b:SourceType>
    <b:Guid>{8075D48F-2785-477D-A495-D44B95626494}</b:Guid>
    <b:Author>
      <b:Author>
        <b:Corporate>BPS Sensus Penduduk 2010</b:Corporate>
      </b:Author>
    </b:Author>
    <b:Title>Penduduk Menurut Kelompok Umur dan Agama yang Dianut</b:Title>
    <b:InternetSiteTitle>sp2010.bps.go.id</b:InternetSiteTitle>
    <b:URL>https://sp2010.bps.go.id/index.php/site/tabel?tid=320&amp;wid=3100000000</b:URL>
    <b:RefOrder>74</b:RefOrder>
  </b:Source>
  <b:Source>
    <b:Tag>BPS171</b:Tag>
    <b:SourceType>InternetSite</b:SourceType>
    <b:Guid>{7FAE65C1-65C9-49EB-8AB1-20D7CD02F256}</b:Guid>
    <b:Author>
      <b:Author>
        <b:Corporate>BPS DKI Jakarta Dalam Angka 2017</b:Corporate>
      </b:Author>
    </b:Author>
    <b:Title>Data Jumlah Penduduk Berdasarkan Agama Per Kelurahan</b:Title>
    <b:InternetSiteTitle>jakarta.go.id</b:InternetSiteTitle>
    <b:Year>2017</b:Year>
    <b:URL>https://data.jakarta.go.id/my/dataset/jumlah-penduduk-dki-jakarta-berdasarkan-agama/resource/96af31cc-633b-4a86-a0cd-17ed6e90af57</b:URL>
    <b:RefOrder>75</b:RefOrder>
  </b:Source>
  <b:Source>
    <b:Tag>Dir16</b:Tag>
    <b:SourceType>Report</b:SourceType>
    <b:Guid>{66DAA090-2762-499E-8160-66F4C89ED7A5}</b:Guid>
    <b:Title>Survei Angkatan Kerja Nasional 2016 Agustus</b:Title>
    <b:City>Jakarta</b:City>
    <b:Year>2016</b:Year>
    <b:Author>
      <b:Author>
        <b:Corporate>Direktur Statistik Kependudukan dan Ketenagakerjaan - Badan Pusat Statistik</b:Corporate>
      </b:Author>
    </b:Author>
    <b:Publisher>Badan Pusat Statistik</b:Publisher>
    <b:RefOrder>76</b:RefOrder>
  </b:Source>
  <b:Source>
    <b:Tag>Pem17</b:Tag>
    <b:SourceType>Report</b:SourceType>
    <b:Guid>{8A4744B3-E91C-4C8F-9947-3BEF8F4BE5BD}</b:Guid>
    <b:Author>
      <b:Author>
        <b:Corporate>Pemerintah Provinsi DKI Jakarta</b:Corporate>
      </b:Author>
    </b:Author>
    <b:Title>Laporan Kinerja Instansi Pemerintah - Laporan Tingkat Kemiskinan dan Ketimpangan</b:Title>
    <b:Year>September 2017</b:Year>
    <b:Publisher>Pemerintah Provinsi DKI Jakarta</b:Publisher>
    <b:City>DKI Jakarta</b:City>
    <b:RefOrder>77</b:RefOrder>
  </b:Source>
  <b:Source>
    <b:Tag>tir19</b:Tag>
    <b:SourceType>ElectronicSource</b:SourceType>
    <b:Guid>{5D85C8A2-1DBB-4868-8241-EC4FA311B12B}</b:Guid>
    <b:Title>DKI Jakarta Bukan Provinsi dengan Ketimpangan Terparah, Pak Anies</b:Title>
    <b:City>DKI Jakarta</b:City>
    <b:StateProvince>DKI Jakarta</b:StateProvince>
    <b:CountryRegion>Indonesia</b:CountryRegion>
    <b:Year>2019</b:Year>
    <b:Month>February</b:Month>
    <b:Day>28</b:Day>
    <b:Author>
      <b:Author>
        <b:Corporate>tirto.id</b:Corporate>
      </b:Author>
      <b:Editor>
        <b:NameList>
          <b:Person>
            <b:Last>Abdulsallam</b:Last>
            <b:First>Husein</b:First>
          </b:Person>
        </b:NameList>
      </b:Editor>
    </b:Author>
    <b:URL>https://tirto.id/dki-jakarta-bukan-provinsi-dengan-ketimpangan-terparah-pak-anies-dhVh</b:URL>
    <b:RefOrder>78</b:RefOrder>
  </b:Source>
  <b:Source>
    <b:Tag>Hil17</b:Tag>
    <b:SourceType>ElectronicSource</b:SourceType>
    <b:Guid>{6FDA39A3-076F-43B3-A255-2AD8C9B448EA}</b:Guid>
    <b:Title>Jutawan yang Tinggal di Jakarta sebanyak 27.100 orang</b:Title>
    <b:Year>2017</b:Year>
    <b:City>Jakarta</b:City>
    <b:LCID>en-ID</b:LCID>
    <b:Author>
      <b:Author>
        <b:Corporate>kompas.com</b:Corporate>
      </b:Author>
      <b:Editor>
        <b:NameList>
          <b:Person>
            <b:Last>Alexander</b:Last>
            <b:First>Hilda</b:First>
            <b:Middle>B.</b:Middle>
          </b:Person>
        </b:NameList>
      </b:Editor>
    </b:Author>
    <b:StateProvince>DKI Jakarta</b:StateProvince>
    <b:CountryRegion>Indonesia</b:CountryRegion>
    <b:Month>March</b:Month>
    <b:Day>2</b:Day>
    <b:URL>https://properti.kompas.com/read/2017/03/02/200000621/jutawan.yang.tinggal.di.jakarta.sebanyak.27.100.orang</b:URL>
    <b:RefOrder>79</b:RefOrder>
  </b:Source>
  <b:Source>
    <b:Tag>kpu17</b:Tag>
    <b:SourceType>ElectronicSource</b:SourceType>
    <b:Guid>{EBA208C7-187C-4F43-B6F6-A14686133E9A}</b:Guid>
    <b:Author>
      <b:Author>
        <b:Corporate>kpujakarta.go.id</b:Corporate>
      </b:Author>
    </b:Author>
    <b:Title>KPU DKI Tetapkan Hasil Rekap Perolehan Suara Putaran Kedua</b:Title>
    <b:City>DKI Jakarta</b:City>
    <b:StateProvince>DKI Jakarta</b:StateProvince>
    <b:CountryRegion>Indonesia</b:CountryRegion>
    <b:Year>2017</b:Year>
    <b:Month>April</b:Month>
    <b:Day>30</b:Day>
    <b:URL>www.kpujakarta.go.id+hasil+pilkadaPilkada+jakarta+2017&amp;oq=www.kpujakarta.go.id+hasil+pilkadaPilkada+jakarta+2017&amp;gs_l=psy-ab.3...16771.18548..18705...0.2..0.164.1373.4j8......0....1..gws-wiz.......0i71..26%3A133.ik_8hoIjWUY&amp;ved=0ahUKEwilw7PvgqPoAhXRTX0KHW</b:URL>
    <b:RefOrder>80</b:RefOrder>
  </b:Source>
  <b:Source>
    <b:Tag>ber20</b:Tag>
    <b:SourceType>InternetSite</b:SourceType>
    <b:Guid>{6F8F47E0-1D3E-4A93-B2DE-9EBBBA9D1B7B}</b:Guid>
    <b:Author>
      <b:Author>
        <b:Corporate>beritasatu.com</b:Corporate>
      </b:Author>
    </b:Author>
    <b:Title>beritasatu.com</b:Title>
    <b:InternetSiteTitle>beritasatu.com</b:InternetSiteTitle>
    <b:Year>2020</b:Year>
    <b:Month>April</b:Month>
    <b:Day>20</b:Day>
    <b:URL>https://www.beritasatu.com/megapolitan/422722/banyak-program-ahokdjarot-yang-memihak-umat-islam-jakarta</b:URL>
    <b:RefOrder>81</b:RefOrder>
  </b:Source>
  <b:Source>
    <b:Tag>jaw20</b:Tag>
    <b:SourceType>InternetSite</b:SourceType>
    <b:Guid>{C706C2C2-1F45-4359-92A4-23F45C4FA6FE}</b:Guid>
    <b:Author>
      <b:Author>
        <b:Corporate>jawapos.com</b:Corporate>
      </b:Author>
    </b:Author>
    <b:Title>jawapos.com</b:Title>
    <b:InternetSiteTitle>jawapos.com</b:InternetSiteTitle>
    <b:Year>2020</b:Year>
    <b:Month>April</b:Month>
    <b:Day>21</b:Day>
    <b:URL>https://www.jawapos.com/nasional/pemilihan/20/04/2017/catat-ini-daftar-janji-anies-sandi-saat-kampanye-yang-harus-dipenuhi/</b:URL>
    <b:RefOrder>82</b:RefOrder>
  </b:Source>
  <b:Source>
    <b:Tag>Tem20</b:Tag>
    <b:SourceType>InternetSite</b:SourceType>
    <b:Guid>{D2205DE3-D504-416D-90A4-67E85B9C7278}</b:Guid>
    <b:Author>
      <b:Author>
        <b:Corporate>Tempo.co</b:Corporate>
      </b:Author>
    </b:Author>
    <b:Title>polkada.tempo.co</b:Title>
    <b:InternetSiteTitle>tempo.co</b:InternetSiteTitle>
    <b:Year>2017</b:Year>
    <b:Month>Januari</b:Month>
    <b:Day>17</b:Day>
    <b:URL>https://pilkada.tempo.co/read/837031/ceramah-anies-di-maulid-nabi-afdal-mana-1-sama-3-rakaat</b:URL>
    <b:RefOrder>83</b:RefOrder>
  </b:Source>
  <b:Source>
    <b:Tag>Adr20</b:Tag>
    <b:SourceType>InternetSite</b:SourceType>
    <b:Guid>{E570DAF3-4F14-4E1F-9895-8A358CE9730F}</b:Guid>
    <b:Author>
      <b:Author>
        <b:Corporate>Adriana Megawati</b:Corporate>
      </b:Author>
    </b:Author>
    <b:Title>beritajakarta.id</b:Title>
    <b:InternetSiteTitle>beritajakarta.id</b:InternetSiteTitle>
    <b:Year>2017</b:Year>
    <b:Month>November</b:Month>
    <b:Day>19</b:Day>
    <b:URL>http://www.beritajakarta.id/read/52036/anies-hadiri-peringatan-maulid-nabi-di-masjid-attaqwa-attahiriyah#.XrLYOagzbIU</b:URL>
    <b:RefOrder>84</b:RefOrder>
  </b:Source>
  <b:Source>
    <b:Tag>Ani17</b:Tag>
    <b:SourceType>InternetSite</b:SourceType>
    <b:Guid>{EEBF720A-6CCC-4213-8210-CE2CB2CC9AC7}</b:Guid>
    <b:Author>
      <b:Author>
        <b:Corporate>Anisyah Al Faqir</b:Corporate>
      </b:Author>
    </b:Author>
    <b:Title>merdeka.com</b:Title>
    <b:InternetSiteTitle>merdeka.com</b:InternetSiteTitle>
    <b:Year>2017</b:Year>
    <b:Month>Februari</b:Month>
    <b:Day>6</b:Day>
    <b:URL>https://www.merdeka.com/politik/muhammadiyah-dki-anies-sandi-merupakan-keluarga-besar.html</b:URL>
    <b:RefOrder>85</b:RefOrder>
  </b:Source>
  <b:Source>
    <b:Tag>Del17</b:Tag>
    <b:SourceType>InternetSite</b:SourceType>
    <b:Guid>{7BD8E9C2-7FF7-497C-9168-1CC1C576658B}</b:Guid>
    <b:Author>
      <b:Author>
        <b:Corporate>Delvira Hutabarat</b:Corporate>
      </b:Author>
    </b:Author>
    <b:Title>liputan6.com</b:Title>
    <b:InternetSiteTitle>liputan6.com</b:InternetSiteTitle>
    <b:Year>2017</b:Year>
    <b:Month>January</b:Month>
    <b:Day>9</b:Day>
    <b:URL>https://www.liputan6.com/pilkada/read/2821724/sambangi-ponpes-soko-tunggal-ahok-dapat-dukungan-gus-nuril</b:URL>
    <b:RefOrder>86</b:RefOrder>
  </b:Source>
  <b:Source>
    <b:Tag>Ahm20</b:Tag>
    <b:SourceType>InternetSite</b:SourceType>
    <b:Guid>{9EF18E46-4A8E-4664-A181-F445E9C08BAF}</b:Guid>
    <b:Author>
      <b:Author>
        <b:Corporate>Ahmad Muawal Hasan</b:Corporate>
      </b:Author>
    </b:Author>
    <b:Title>tirto.id</b:Title>
    <b:InternetSiteTitle>tirto.id</b:InternetSiteTitle>
    <b:Year>2020</b:Year>
    <b:Month>maret</b:Month>
    <b:Day>16</b:Day>
    <b:URL>  https://tirto.id/kuatnya-sentimen-agama-di-pilgub-jakarta-ciZn</b:URL>
    <b:RefOrder>87</b:RefOrder>
  </b:Source>
  <b:Source>
    <b:Tag>Dhi17</b:Tag>
    <b:SourceType>InternetSite</b:SourceType>
    <b:Guid>{2487F365-77BD-4009-BBD2-D24830169491}</b:Guid>
    <b:Author>
      <b:Author>
        <b:Corporate>Dhimas Ginanjar</b:Corporate>
      </b:Author>
    </b:Author>
    <b:Title>jawapos.com</b:Title>
    <b:InternetSiteTitle>jawapos.com</b:InternetSiteTitle>
    <b:Year>2017</b:Year>
    <b:Month>April</b:Month>
    <b:Day>20</b:Day>
    <b:URL>https://www.jawapos.com/nasional/pemilihan/20/04/2017/catat-ini-daftar-janji-anies-sandi-saat-kampanye-yang-harus-dipenuhi/</b:URL>
    <b:RefOrder>88</b:RefOrder>
  </b:Source>
  <b:Source>
    <b:Tag>Pro</b:Tag>
    <b:SourceType>InternetSite</b:SourceType>
    <b:Guid>{61428274-B946-4CAB-89E5-3893BFCC8ECE}</b:Guid>
    <b:Title>Program Dua Kandidat Gubernur DKI Jakarta Soal Perempuan dan Anak</b:Title>
    <b:InternetSiteTitle>id.theasianparent.com</b:InternetSiteTitle>
    <b:URL>https://id.theasianparent.com/program-dua-kandidat-gubernur-dki-jakarta-soal-perempuan-dan-anak/</b:URL>
    <b:RefOrder>89</b:RefOrder>
  </b:Source>
  <b:Source>
    <b:Tag>Gut03</b:Tag>
    <b:SourceType>Book</b:SourceType>
    <b:Guid>{A1BACFFB-150F-4A16-B2F8-DCDF63C5BD56}</b:Guid>
    <b:Author>
      <b:Author>
        <b:NameList>
          <b:Person>
            <b:Last>Gutman</b:Last>
            <b:First>L.A</b:First>
          </b:Person>
        </b:NameList>
      </b:Author>
    </b:Author>
    <b:Title>Identity In Democracy</b:Title>
    <b:Year>2003</b:Year>
    <b:City>New Jersey</b:City>
    <b:Publisher>Princeton University Press</b:Publisher>
    <b:RefOrder>90</b:RefOrder>
  </b:Source>
  <b:Source>
    <b:Tag>Rah21</b:Tag>
    <b:SourceType>JournalArticle</b:SourceType>
    <b:Guid>{D1A60CA9-DF83-4EAF-96E6-4229FF309044}</b:Guid>
    <b:Title>Dinamika Kependudukan Di Ibukota Jakarta (Deskripsi Perkembangan Kuantitas, Kualitas Dan Kesejahteraan Penduduk Di DKI Jakarta)</b:Title>
    <b:Year>Juli 2021</b:Year>
    <b:Author>
      <b:Author>
        <b:NameList>
          <b:Person>
            <b:Last>Rahmatulloh</b:Last>
          </b:Person>
        </b:NameList>
      </b:Author>
    </b:Author>
    <b:JournalName>GENTA MULIA</b:JournalName>
    <b:Pages>59</b:Pages>
    <b:Volume>VIII</b:Volume>
    <b:Issue>No.2</b:Issue>
    <b:RefOrder>91</b:RefOrder>
  </b:Source>
  <b:Source>
    <b:Tag>Bla11</b:Tag>
    <b:SourceType>Book</b:SourceType>
    <b:Guid>{F415C4D9-9164-462C-8A4C-ED20FA4D7E2A}</b:Guid>
    <b:Title>Jakarta : Sejarah 400 Tahun</b:Title>
    <b:Year>2011</b:Year>
    <b:City>Depok</b:City>
    <b:Publisher>Masup Jakarta</b:Publisher>
    <b:Author>
      <b:Author>
        <b:NameList>
          <b:Person>
            <b:Last>Blackburn</b:Last>
            <b:First>Susan</b:First>
          </b:Person>
        </b:NameList>
      </b:Author>
      <b:Editor>
        <b:NameList>
          <b:Person>
            <b:Last>Triwira</b:Last>
            <b:First>Gatot</b:First>
          </b:Person>
        </b:NameList>
      </b:Editor>
    </b:Author>
    <b:RefOrder>92</b:RefOrder>
  </b:Source>
  <b:Source>
    <b:Tag>Din19</b:Tag>
    <b:SourceType>ElectronicSource</b:SourceType>
    <b:Guid>{BE1E477B-00DD-41AE-93CC-94789BCA6D98}</b:Guid>
    <b:Author>
      <b:Author>
        <b:Corporate>Dinas Kependudukan dan Pencatatan Sipil Provinsi DKI Jakarta</b:Corporate>
      </b:Author>
    </b:Author>
    <b:Title>Data Jumlah Penduduk Berdasarkan Agama Per Kelurahan</b:Title>
    <b:City>DKI Jakarta</b:City>
    <b:StateProvince>DKI Jakarta</b:StateProvince>
    <b:CountryRegion>Indonesia</b:CountryRegion>
    <b:Year>2019</b:Year>
    <b:Month>Oktober</b:Month>
    <b:Day>4</b:Day>
    <b:RefOrder>93</b:RefOrder>
  </b:Source>
  <b:Source>
    <b:Tag>BPS18</b:Tag>
    <b:SourceType>Report</b:SourceType>
    <b:Guid>{4320D0BB-1EE2-424C-B5B6-9B9BD62D5FBA}</b:Guid>
    <b:Author>
      <b:Author>
        <b:Corporate>BPS DKI Jakarta</b:Corporate>
      </b:Author>
    </b:Author>
    <b:Title>Jakarta Dalam Angka</b:Title>
    <b:Year>2018</b:Year>
    <b:Publisher>BPD DKI Jakarta</b:Publisher>
    <b:City>DKI Jakarta</b:City>
    <b:Pages>92-93</b:Pages>
    <b:RefOrder>94</b:RefOrder>
  </b:Source>
  <b:Source>
    <b:Tag>Pid00</b:Tag>
    <b:SourceType>JournalArticle</b:SourceType>
    <b:Guid>{4B3F8374-35CB-4DAA-A974-BE1CF52CA3D5}</b:Guid>
    <b:Title>Partisipasi Masyarakat Sipil dalam Otonomi Daerah Menurut Undang-Undang No. 22 Tahun 1999</b:Title>
    <b:Year>2000</b:Year>
    <b:Month>Agustus</b:Month>
    <b:Author>
      <b:Author>
        <b:NameList>
          <b:Person>
            <b:Last>Pide</b:Last>
            <b:First>Mustari</b:First>
          </b:Person>
        </b:NameList>
      </b:Author>
    </b:Author>
    <b:JournalName>Jurnal Hukum</b:JournalName>
    <b:Pages>135-148</b:Pages>
    <b:Volume>7</b:Volume>
    <b:Issue>No.14</b:Issue>
    <b:RefOrder>95</b:RefOrder>
  </b:Source>
  <b:Source>
    <b:Tag>Bad19</b:Tag>
    <b:SourceType>DocumentFromInternetSite</b:SourceType>
    <b:Guid>{2B30C4DA-F5A8-4082-AE5A-0116CE4B2A6B}</b:Guid>
    <b:Title>data.jakarta.go.id</b:Title>
    <b:Year>2019</b:Year>
    <b:InternetSiteTitle>data.jakarta.go.id</b:InternetSiteTitle>
    <b:Month>January</b:Month>
    <b:Day>2</b:Day>
    <b:URL>http://data.jakarta.go.id/dataset/data-organisasi-masyarakat-yang-terdaftar-di-dki-jakarta-tahun-2018/resource/1a17f12c-dcb3-438c-ab2a-76566c0d52bf</b:URL>
    <b:Author>
      <b:Author>
        <b:Corporate>Badan Kesatuan Bangsa dan Politik Prov DKI Jakarta</b:Corporate>
      </b:Author>
    </b:Author>
    <b:RefOrder>96</b:RefOrder>
  </b:Source>
  <b:Source>
    <b:Tag>Kom17</b:Tag>
    <b:SourceType>ElectronicSource</b:SourceType>
    <b:Guid>{6A973A56-B27B-42EF-BB49-A4DC72D251A0}</b:Guid>
    <b:Author>
      <b:Author>
        <b:Corporate>Kompas.com</b:Corporate>
      </b:Author>
      <b:Editor>
        <b:NameList>
          <b:Person>
            <b:Last>Syatiri</b:Last>
            <b:First>Ana</b:First>
            <b:Middle>Shofiana</b:Middle>
          </b:Person>
        </b:NameList>
      </b:Editor>
    </b:Author>
    <b:Title>Anggaran Dana Hibah DKI 2018 Rp 1,7 Triliun, APBD 2016 Rp 2,5 Triliun</b:Title>
    <b:Year>2017</b:Year>
    <b:Month>November</b:Month>
    <b:Day>23</b:Day>
    <b:URL>https://megapolitan.kompas.com/read/2017/11/23/11260251/anggaran-dana-hibah-dki-2018-rp-17-triliun-apbd-2016-rp-25-triliun</b:URL>
    <b:City>Jakarta</b:City>
    <b:StateProvince>DKI Jakarta</b:StateProvince>
    <b:CountryRegion>Indonesia</b:CountryRegion>
    <b:RefOrder>97</b:RefOrder>
  </b:Source>
  <b:Source>
    <b:Tag>Cre02</b:Tag>
    <b:SourceType>Book</b:SourceType>
    <b:Guid>{0DDD50AA-D82F-4897-8FE6-78D0A4181C83}</b:Guid>
    <b:Title>Research Design: Qualitative and Quantitative Approaches. Terj. Angkatan III dan IV KIK-UI bekerja sama dengan Nur Khabibah</b:Title>
    <b:Year>2002</b:Year>
    <b:Author>
      <b:Author>
        <b:NameList>
          <b:Person>
            <b:Last>Creswell</b:Last>
            <b:First>John</b:First>
            <b:Middle>W</b:Middle>
          </b:Person>
        </b:NameList>
      </b:Author>
      <b:Translator>
        <b:NameList>
          <b:Person>
            <b:Last>Angkatan III dan IV KIK-UI bekerja sama dengan Nur Khabibah</b:Last>
            <b:First>Chryshnanda</b:First>
            <b:Middle>DL dan Bambang Hastobroto</b:Middle>
          </b:Person>
        </b:NameList>
      </b:Translator>
    </b:Author>
    <b:City>Jakarta</b:City>
    <b:Publisher>KIK Press</b:Publisher>
    <b:Pages>17</b:Pages>
    <b:RefOrder>98</b:RefOrder>
  </b:Source>
  <b:Source>
    <b:Tag>Mul04</b:Tag>
    <b:SourceType>Book</b:SourceType>
    <b:Guid>{FED163E5-290B-4216-A33A-49042A893C97}</b:Guid>
    <b:Author>
      <b:Author>
        <b:NameList>
          <b:Person>
            <b:Last>Mulyana</b:Last>
            <b:First>Deddy</b:First>
          </b:Person>
        </b:NameList>
      </b:Author>
    </b:Author>
    <b:Title>etodologi Penelitian Kualitatif</b:Title>
    <b:Year>2004</b:Year>
    <b:City>Bandung</b:City>
    <b:Publisher>PT Remaja Rosdakarya</b:Publisher>
    <b:Pages>201</b:Pages>
    <b:RefOrder>99</b:RefOrder>
  </b:Source>
  <b:Source>
    <b:Tag>kat18</b:Tag>
    <b:SourceType>InternetSite</b:SourceType>
    <b:Guid>{8A111CE7-F375-4038-AFB7-096A9ABC8815}</b:Guid>
    <b:Title>katadata.co.id</b:Title>
    <b:Year>2018</b:Year>
    <b:Month>January</b:Month>
    <b:Day>24</b:Day>
    <b:Author>
      <b:Author>
        <b:Corporate>katadata.co.id</b:Corporate>
      </b:Author>
    </b:Author>
    <b:InternetSiteTitle>katadata.co.id</b:InternetSiteTitle>
    <b:URL>https://databoks.katadata.co.id/datapublish/2018/01/24/berapa-jumlah-penduduk-jakarta</b:URL>
    <b:RefOrder>100</b:RefOrder>
  </b:Source>
  <b:Source>
    <b:Tag>Car17</b:Tag>
    <b:SourceType>InternetSite</b:SourceType>
    <b:Guid>{5B00A63C-50EA-40F2-A6F3-98DC46B880ED}</b:Guid>
    <b:Author>
      <b:Author>
        <b:Corporate>Fajarta, Carlos Roy</b:Corporate>
      </b:Author>
    </b:Author>
    <b:Title>Serikat Buruh Pelabuhan Tanjung Priok Dukung Ahok-Djarot</b:Title>
    <b:InternetSiteTitle>www.beritasatu.com</b:InternetSiteTitle>
    <b:Year>2017</b:Year>
    <b:Month>April</b:Month>
    <b:Day>6</b:Day>
    <b:URL>https://www.beritasatu.com/megapolitan/423657/serikat-buruh-pelabuhan-tanjung-priok-dukung-ahokdjarot</b:URL>
    <b:RefOrder>101</b:RefOrder>
  </b:Source>
  <b:Source>
    <b:Tag>Tom17</b:Tag>
    <b:SourceType>InternetSite</b:SourceType>
    <b:Guid>{179C16E2-1549-4CF0-8932-9BF345D1A826}</b:Guid>
    <b:Author>
      <b:Author>
        <b:Corporate>Tumanggor, Fetra</b:Corporate>
      </b:Author>
    </b:Author>
    <b:Title>Organisasi Buruh Dukung Ahok-Djarot</b:Title>
    <b:InternetSiteTitle>tagar.id</b:InternetSiteTitle>
    <b:Year>2017</b:Year>
    <b:Month>April</b:Month>
    <b:Day>15</b:Day>
    <b:URL>https://www.tagar.id/organisasi-buruh-dukung-ahok-djarot/</b:URL>
    <b:RefOrder>102</b:RefOrder>
  </b:Source>
  <b:Source>
    <b:Tag>Rej17</b:Tag>
    <b:SourceType>InternetSite</b:SourceType>
    <b:Guid>{0126DDD7-2336-4191-984C-44CA87859B1D}</b:Guid>
    <b:Title>Ribuan Relawan Siap Jaga TPS demi Kemenangan Ahok-Djarot</b:Title>
    <b:Year>2017</b:Year>
    <b:Month>Februari</b:Month>
    <b:Day>13</b:Day>
    <b:Author>
      <b:Author>
        <b:Corporate>Hidayat, Reja</b:Corporate>
      </b:Author>
    </b:Author>
    <b:InternetSiteTitle>tirto.id</b:InternetSiteTitle>
    <b:URL>https://tirto.id/ribuan-relawan-siap-jaga-tps-demi-kemenangan-ahok-djarot-ciWd</b:URL>
    <b:RefOrder>103</b:RefOrder>
  </b:Source>
  <b:Source>
    <b:Tag>Lis17</b:Tag>
    <b:SourceType>InternetSite</b:SourceType>
    <b:Guid>{EE5A32FA-5E54-4D2A-93C2-A47428C946E3}</b:Guid>
    <b:Author>
      <b:Author>
        <b:Corporate>Lis Yuliawati</b:Corporate>
      </b:Author>
    </b:Author>
    <b:Title>Dukung Anies-Sandi, Relawan Kesehatan Beri Kontrak Politik</b:Title>
    <b:InternetSiteTitle>www.viva.co.id</b:InternetSiteTitle>
    <b:Year>2017</b:Year>
    <b:Month>Maret</b:Month>
    <b:Day>09</b:Day>
    <b:URL>https://www.viva.co.id/berita/metro/892074-dukung-anies-sandi-relawan-kesehatan-beri-kontrak-politik</b:URL>
    <b:RefOrder>104</b:RefOrder>
  </b:Source>
  <b:Source>
    <b:Tag>Bar17</b:Tag>
    <b:SourceType>InternetSite</b:SourceType>
    <b:Guid>{6D656E1D-2FE4-4BBC-BD0D-2802D1DA2133}</b:Guid>
    <b:Author>
      <b:Author>
        <b:Corporate>Bartanius Dony</b:Corporate>
      </b:Author>
    </b:Author>
    <b:Title>Organisasi Buruh Jakarta Dukung Anies Sandiaga</b:Title>
    <b:InternetSiteTitle>detik.com</b:InternetSiteTitle>
    <b:Year>2017</b:Year>
    <b:Month>April</b:Month>
    <b:Day>1</b:Day>
    <b:URL>https://news.detik.com/berita/d-3462402/13-organisasi-buruh-jakarta-dukung-anies-sandiaga</b:URL>
    <b:RefOrder>105</b:RefOrder>
  </b:Source>
  <b:Source>
    <b:Tag>Agu17</b:Tag>
    <b:SourceType>InternetSite</b:SourceType>
    <b:Guid>{A017C674-F7C3-45B5-9E55-CAAB13FE45D5}</b:Guid>
    <b:Author>
      <b:Author>
        <b:Corporate>Agus Lukman</b:Corporate>
      </b:Author>
    </b:Author>
    <b:Title>Setelah Anies Temui FPI, Berikutnya Giliran FBR dan Ormas Pendukung Demokrat</b:Title>
    <b:InternetSiteTitle>www.kbr.id</b:InternetSiteTitle>
    <b:Year>2017</b:Year>
    <b:Month>Januari</b:Month>
    <b:Day>3</b:Day>
    <b:URL>https://kbr.id/nasional/01-2017/setelah_anies_temui_fpi__berikutnya_giliran_fbr_dan_ormas_pendukung_demokrat/87920.html</b:URL>
    <b:RefOrder>106</b:RefOrder>
  </b:Source>
  <b:Source>
    <b:Tag>Ari17</b:Tag>
    <b:SourceType>InternetSite</b:SourceType>
    <b:Guid>{CF8D6E5E-A5C3-43D3-AFE1-1D9A4A0BE2EF}</b:Guid>
    <b:Author>
      <b:Author>
        <b:Corporate>Arief Ikhsanudin</b:Corporate>
      </b:Author>
    </b:Author>
    <b:Title>Gerakan Pemuda Islam Indonesia DKI Jakarta Dukung Anies-Sandi</b:Title>
    <b:InternetSiteTitle>www.detik.com</b:InternetSiteTitle>
    <b:Year>2017</b:Year>
    <b:Month>April</b:Month>
    <b:Day>2</b:Day>
    <b:URL>https://news.detik.com/berita/d-3462828/gerakan-pemuda-islam-indonesia-dki-jakarta-dukung-anies-sandi</b:URL>
    <b:RefOrder>107</b:RefOrder>
  </b:Source>
  <b:Source>
    <b:Tag>MAh17</b:Tag>
    <b:SourceType>InternetSite</b:SourceType>
    <b:Guid>{B9E1C1CF-DFAE-4742-B151-64568F4AE164}</b:Guid>
    <b:Author>
      <b:Author>
        <b:Corporate>M. Ahsan Ridhoi</b:Corporate>
      </b:Author>
    </b:Author>
    <b:Title>Forum Ulama dan Habib DKI Jakarta Dukung Penuh Anies Sandi</b:Title>
    <b:InternetSiteTitle>www.tirto.id</b:InternetSiteTitle>
    <b:Year>2017</b:Year>
    <b:Month>Februari</b:Month>
    <b:Day>23</b:Day>
    <b:URL>https://tirto.id/forum-ulama-dan-habib-dki-jakarta-dukung-penuh-anies-sandi-cjAT</b:URL>
    <b:RefOrder>108</b:RefOrder>
  </b:Source>
  <b:Source>
    <b:Tag>Car171</b:Tag>
    <b:SourceType>InternetSite</b:SourceType>
    <b:Guid>{7D94D6B7-169C-4195-AF20-CCDE2CED65EC}</b:Guid>
    <b:Author>
      <b:Author>
        <b:Corporate>Carlos Roy Fajarta</b:Corporate>
      </b:Author>
    </b:Author>
    <b:Title>Relawan Muhammadiyah Komitmen Dukung Anies-Sandi</b:Title>
    <b:InternetSiteTitle>www.beritasatu.com</b:InternetSiteTitle>
    <b:Year>2017</b:Year>
    <b:Month>Maret</b:Month>
    <b:Day>21</b:Day>
    <b:URL>https://www.beritasatu.com/megapolitan/420792-relawan-muhammadiyah-komitmen-dukung-aniessandi</b:URL>
    <b:RefOrder>109</b:RefOrder>
  </b:Source>
  <b:Source>
    <b:Tag>Teg17</b:Tag>
    <b:SourceType>InternetSite</b:SourceType>
    <b:Guid>{215B8A14-FBF5-44CD-BA0F-22DBDE2F76F3}</b:Guid>
    <b:Author>
      <b:Author>
        <b:Corporate>Teguh Firmansyah</b:Corporate>
      </b:Author>
    </b:Author>
    <b:Title>Komunitas Gereja Ini Deklarasi Dukung Anies-Sandiaga</b:Title>
    <b:InternetSiteTitle>www.republika.co.id</b:InternetSiteTitle>
    <b:Year>2017</b:Year>
    <b:Month>April</b:Month>
    <b:Day>11</b:Day>
    <b:URL>https://www.republika.co.id/berita/nasional/politik/17/04/11/oo8tsw377-komunitas-gereja-ini-deklarasi-dukung-aniessandiaga</b:URL>
    <b:RefOrder>110</b:RefOrder>
  </b:Source>
  <b:Source>
    <b:Tag>Ibn17</b:Tag>
    <b:SourceType>InternetSite</b:SourceType>
    <b:Guid>{02712001-7EB6-48CD-A59A-6DC8D565618F}</b:Guid>
    <b:Author>
      <b:Author>
        <b:Corporate>Ibnu Siena</b:Corporate>
      </b:Author>
    </b:Author>
    <b:Title>Dukung Anies-Sandi, Parmusi targetkan menang mutlak</b:Title>
    <b:InternetSiteTitle>www.merdeka.com</b:InternetSiteTitle>
    <b:Year>2017</b:Year>
    <b:Month>Maret</b:Month>
    <b:Day>23</b:Day>
    <b:URL>https://www.merdeka.com/jakarta/dukung-anies-sandi-parmusi-targetkan-menang-mutlak.html</b:URL>
    <b:RefOrder>111</b:RefOrder>
  </b:Source>
  <b:Source>
    <b:Tag>Alf17</b:Tag>
    <b:SourceType>InternetSite</b:SourceType>
    <b:Guid>{9B221551-80DF-422F-9CF4-B53B47122683}</b:Guid>
    <b:Author>
      <b:Author>
        <b:Corporate>Alfian Risfil Auton</b:Corporate>
      </b:Author>
    </b:Author>
    <b:Title>Jaringan Santri Indonesia: Kami Dukung Anies-Sandi karena Aqidah</b:Title>
    <b:InternetSiteTitle>www.teropongsenayan.com</b:InternetSiteTitle>
    <b:Year>2017</b:Year>
    <b:Month>Maret</b:Month>
    <b:Day>13</b:Day>
    <b:URL>http://www.teropongsenayan.com/59393-jaringan-santri-indonesia-kami-dukung-anies-sandi-karena-aqidah</b:URL>
    <b:RefOrder>112</b:RefOrder>
  </b:Source>
  <b:Source>
    <b:Tag>Asn17</b:Tag>
    <b:SourceType>InternetSite</b:SourceType>
    <b:Guid>{0268622F-DB0D-4FAC-96BA-49CE53372250}</b:Guid>
    <b:Author>
      <b:Author>
        <b:Corporate>Asni Ovier</b:Corporate>
      </b:Author>
    </b:Author>
    <b:Title>RelaNU Rapatkan Barisan Dukung Ahok-Djarot</b:Title>
    <b:InternetSiteTitle>www.beritasatu.com</b:InternetSiteTitle>
    <b:Year>2017</b:Year>
    <b:Month>April</b:Month>
    <b:Day>14</b:Day>
    <b:URL>https://www.beritasatu.com/megapolitan/425201-relanu-rapatkan-barisan-dukung-ahokdjarot</b:URL>
    <b:RefOrder>113</b:RefOrder>
  </b:Source>
  <b:Source>
    <b:Tag>Chu17</b:Tag>
    <b:SourceType>InternetSite</b:SourceType>
    <b:Guid>{BF2620CD-0FD5-49EC-BB7F-49B8A70812D0}</b:Guid>
    <b:Author>
      <b:Author>
        <b:Corporate>Chusnul Chotimah</b:Corporate>
      </b:Author>
    </b:Author>
    <b:Title>GP Ansor Mengklaim Dukung Ahok Demi NKRI dan Kebhinekaan</b:Title>
    <b:InternetSiteTitle>tirto.id</b:InternetSiteTitle>
    <b:Year>2017</b:Year>
    <b:Month>April</b:Month>
    <b:Day>7</b:Day>
    <b:URL>https://tirto.id/gp-ansor-mengklaim-dukung-ahok-demi-nkri-dan-kebhinekaan-cmkd</b:URL>
    <b:RefOrder>114</b:RefOrder>
  </b:Source>
  <b:Source>
    <b:Tag>Aqi16</b:Tag>
    <b:SourceType>InternetSite</b:SourceType>
    <b:Guid>{0641C15F-5E91-48A7-9F86-158DF2CE2907}</b:Guid>
    <b:Author>
      <b:Author>
        <b:Corporate>Aqila Zafira</b:Corporate>
      </b:Author>
    </b:Author>
    <b:Title>Generasi Muda Muhammadiyah Dukung Ahok – Djarot</b:Title>
    <b:InternetSiteTitle>porosjakarta.com</b:InternetSiteTitle>
    <b:Year>2016</b:Year>
    <b:Month>November</b:Month>
    <b:Day>8</b:Day>
    <b:URL>http://porosjakarta.com/7856/generasi-muda-muhammadiyah-dukung-ahok-djarot</b:URL>
    <b:RefOrder>115</b:RefOrder>
  </b:Source>
  <b:Source>
    <b:Tag>HA16</b:Tag>
    <b:SourceType>InternetSite</b:SourceType>
    <b:Guid>{1CC4392D-68C2-403F-9A56-8007B001E3C2}</b:Guid>
    <b:Author>
      <b:Author>
        <b:Corporate>HA</b:Corporate>
      </b:Author>
    </b:Author>
    <b:Title>500 Aktivis Perempuan Beri Dukungan ke Ahok-Djarot</b:Title>
    <b:InternetSiteTitle>www.beritasatu.com</b:InternetSiteTitle>
    <b:Year>2016</b:Year>
    <b:Month>Desember </b:Month>
    <b:Day>15</b:Day>
    <b:URL>https://www.beritasatu.com/megapolitan/404782/500-aktivis-perempuan-beri-dukungan-ke-ahokdjarot</b:URL>
    <b:RefOrder>116</b:RefOrder>
  </b:Source>
  <b:Source>
    <b:Tag>Bis16</b:Tag>
    <b:SourceType>InternetSite</b:SourceType>
    <b:Guid>{DC54C39A-FF3C-4DEA-A45D-E383C3B6F7C1}</b:Guid>
    <b:Author>
      <b:Author>
        <b:NameList>
          <b:Person>
            <b:Last>Bisnis.com</b:Last>
          </b:Person>
        </b:NameList>
      </b:Author>
    </b:Author>
    <b:Title>Hari Ini, Bidadari Anies-Sandi Deklarasi</b:Title>
    <b:InternetSiteTitle>Bisnis.com</b:InternetSiteTitle>
    <b:Year>2016</b:Year>
    <b:Month>Desember</b:Month>
    <b:Day>19</b:Day>
    <b:URL>https://jakarta.bisnis.com/read/20161219/77/613166/hari-ini-bidadari-anies-sandi-deklarasi</b:URL>
    <b:RefOrder>117</b:RefOrder>
  </b:Source>
  <b:Source>
    <b:Tag>fAU16</b:Tag>
    <b:SourceType>InternetSite</b:SourceType>
    <b:Guid>{18E17340-85E0-4C69-A2F4-92AAAD8B325A}</b:Guid>
    <b:Author>
      <b:Author>
        <b:Corporate>Fauzan Hilal</b:Corporate>
      </b:Author>
    </b:Author>
    <b:Title>Terbukti Bangun Jakarta, Komunitas Juang Perempuan Dukung Ahok-Djarot</b:Title>
    <b:InternetSiteTitle>www.medcom.id</b:InternetSiteTitle>
    <b:Year>2016</b:Year>
    <b:Month>Agustus</b:Month>
    <b:Day>28</b:Day>
    <b:URL>https://www.medcom.id/nasional/metro/Obz92BdN-terbukti-bangun-jakarta-komunitas-juang-perempuan-dukung-ahok-djarot</b:URL>
    <b:RefOrder>118</b:RefOrder>
  </b:Source>
  <b:Source>
    <b:Tag>Put16</b:Tag>
    <b:SourceType>InternetSite</b:SourceType>
    <b:Guid>{ACC4D42F-1D40-4580-A127-8CB18521D1B9}</b:Guid>
    <b:Author>
      <b:Author>
        <b:NameList>
          <b:Person>
            <b:Last>Putra</b:Last>
            <b:First>Putu</b:First>
            <b:Middle>Merta Surya</b:Middle>
          </b:Person>
        </b:NameList>
      </b:Author>
    </b:Author>
    <b:Title>Forum Pemuda NTT Dukung Ahok-Djarot di Pilkada DKI</b:Title>
    <b:InternetSiteTitle>www.liputan6.com</b:InternetSiteTitle>
    <b:Year>2016</b:Year>
    <b:Month>November</b:Month>
    <b:Day>20</b:Day>
    <b:URL>https://www.liputan6.com/pilkada/read/2662317/forum-pemuda-ntt-dukung-ahok-djarot-di-pilkada-dki</b:URL>
    <b:RefOrder>119</b:RefOrder>
  </b:Source>
  <b:Source>
    <b:Tag>Ang16</b:Tag>
    <b:SourceType>InternetSite</b:SourceType>
    <b:Guid>{1E539504-6256-46C5-821E-BAF9D3F25E9A}</b:Guid>
    <b:Author>
      <b:Author>
        <b:Corporate>Angga Yudha Pratomo</b:Corporate>
      </b:Author>
    </b:Author>
    <b:Title>Dianggap membumi, warga Sulut domisili di Jakarta dukung Ahok-Djarot</b:Title>
    <b:InternetSiteTitle>www.merdeka.com</b:InternetSiteTitle>
    <b:Year>2016</b:Year>
    <b:Month>Oktober</b:Month>
    <b:Day>15</b:Day>
    <b:URL>https://www.merdeka.com/peristiwa/dianggap-membumi-warga-sulut-domisili-di-jakarta-dukung-ahok-djarot.html</b:URL>
    <b:RefOrder>120</b:RefOrder>
  </b:Source>
  <b:Source>
    <b:Tag>Len17</b:Tag>
    <b:SourceType>InternetSite</b:SourceType>
    <b:Guid>{586B7CAC-F037-479A-8D1F-AB196FD7F093}</b:Guid>
    <b:Author>
      <b:Author>
        <b:Corporate>Lenny Tristia Tambun</b:Corporate>
      </b:Author>
    </b:Author>
    <b:Title>Paguyuban Arek Jawa Timur Dukung Ahok-Djarot</b:Title>
    <b:InternetSiteTitle>www.beritasatu.com</b:InternetSiteTitle>
    <b:Year>2017</b:Year>
    <b:Month>Maret</b:Month>
    <b:Day>23</b:Day>
    <b:URL>https://www.beritasatu.com/megapolitan/421108/paguyuban-arek-jawa-timur-dukung-ahokdjarot</b:URL>
    <b:RefOrder>121</b:RefOrder>
  </b:Source>
  <b:Source>
    <b:Tag>LBC16</b:Tag>
    <b:SourceType>InternetSite</b:SourceType>
    <b:Guid>{D85BE7C7-F61D-4947-A638-8A2E66497F33}</b:Guid>
    <b:Author>
      <b:Author>
        <b:Corporate>LB Ciputri Hutabarat</b:Corporate>
      </b:Author>
    </b:Author>
    <b:Title>Suku Dayak DKI Beri Kopiah &amp; Selendang ke Ahok-Djarot</b:Title>
    <b:InternetSiteTitle>www.medcom.id</b:InternetSiteTitle>
    <b:Year>2016</b:Year>
    <b:Month>November</b:Month>
    <b:Day>28</b:Day>
    <b:URL>https://www.medcom.id/pilkada/news-pilkada/nbweQ0mK-suku-dayak-dki-beri-kopiah-selendang-ke-ahok-djarot</b:URL>
    <b:RefOrder>122</b:RefOrder>
  </b:Source>
  <b:Source>
    <b:Tag>med17</b:Tag>
    <b:SourceType>InternetSite</b:SourceType>
    <b:Guid>{8157FB67-B622-4F05-BDC0-9005380EC71A}</b:Guid>
    <b:Author>
      <b:Author>
        <b:Corporate>medium.com</b:Corporate>
      </b:Author>
    </b:Author>
    <b:Title>Mengapa Orang Batak Cenderung Dukung Ahok Berikut Penjelasannya</b:Title>
    <b:InternetSiteTitle>medium.com</b:InternetSiteTitle>
    <b:Year>2017</b:Year>
    <b:Month>Maret</b:Month>
    <b:Day>15</b:Day>
    <b:URL>https://medium.com/@seputarmedan/mengapa-orang-batak-cenderung-dukung-ahok-berikut-penjelasannya-32a24a16a3fa</b:URL>
    <b:RefOrder>123</b:RefOrder>
  </b:Source>
  <b:Source>
    <b:Tag>Ang17</b:Tag>
    <b:SourceType>InternetSite</b:SourceType>
    <b:Guid>{329705F2-A1D4-4885-A79C-40CDBB8BFD53}</b:Guid>
    <b:Author>
      <b:Author>
        <b:Corporate>Angga Wijaya</b:Corporate>
      </b:Author>
    </b:Author>
    <b:Title>Masyarakat Papua di Jakarta 1000 Persen Dukung Ahok-Djarot</b:Title>
    <b:InternetSiteTitle>porosjakarta.com</b:InternetSiteTitle>
    <b:Year>2017</b:Year>
    <b:Month>Maret</b:Month>
    <b:Day>27</b:Day>
    <b:URL>http://porosjakarta.com/12491/masyarakat-papua-di-jakarta-1000-persen-dukung-ahok-djarot</b:URL>
    <b:RefOrder>124</b:RefOrder>
  </b:Source>
  <b:Source>
    <b:Tag>Tem17</b:Tag>
    <b:SourceType>InternetSite</b:SourceType>
    <b:Guid>{979DE99A-005B-489E-8E89-2887F78623E8}</b:Guid>
    <b:Author>
      <b:Author>
        <b:Corporate>Tempo.co</b:Corporate>
      </b:Author>
    </b:Author>
    <b:Title>Ini Alasan Komunitas Sunda Dukung Ahok Djarot</b:Title>
    <b:InternetSiteTitle>tempo.co</b:InternetSiteTitle>
    <b:Year>2017</b:Year>
    <b:Month>April</b:Month>
    <b:Day>14</b:Day>
    <b:URL>https://pilkada.tempo.co/read/865918/ini-alasan-komunitas-sunda-dukung-ahok-djarot</b:URL>
    <b:RefOrder>125</b:RefOrder>
  </b:Source>
  <b:Source>
    <b:Tag>Yer17</b:Tag>
    <b:SourceType>InternetSite</b:SourceType>
    <b:Guid>{4F9EF1FE-7381-411E-BABB-13ED26CD6ADF}</b:Guid>
    <b:Author>
      <b:Author>
        <b:Corporate>Yeremia Sukoyo</b:Corporate>
      </b:Author>
    </b:Author>
    <b:Title>Komunitas Masyarakat Sunda DKI Dukung Ahok-Djarot</b:Title>
    <b:InternetSiteTitle>www.beritasatu.com</b:InternetSiteTitle>
    <b:Year>2017</b:Year>
    <b:Month>April</b:Month>
    <b:Day>11</b:Day>
    <b:URL>https://www.beritasatu.com/megapolitan/424551/komunitas-masyarakat-sunda-dki-dukung-ahokdjarot</b:URL>
    <b:RefOrder>126</b:RefOrder>
  </b:Source>
  <b:Source>
    <b:Tag>Nur16</b:Tag>
    <b:SourceType>InternetSite</b:SourceType>
    <b:Guid>{83AE87D6-64DA-40C4-96DA-8B0622D370E0}</b:Guid>
    <b:Author>
      <b:Author>
        <b:Corporate>Nur Azizah</b:Corporate>
      </b:Author>
    </b:Author>
    <b:Title>Dukungan Bertambah, Djarot Optimistis Menang</b:Title>
    <b:InternetSiteTitle>www.medcom.id</b:InternetSiteTitle>
    <b:Year>2016</b:Year>
    <b:Month>November</b:Month>
    <b:Day>22</b:Day>
    <b:URL>https://www.medcom.id/pilkada/news-pilkada/5b27VOnk-dukungan-bertambah-djarot-optimistis-menang</b:URL>
    <b:RefOrder>127</b:RefOrder>
  </b:Source>
  <b:Source>
    <b:Tag>Rin16</b:Tag>
    <b:SourceType>InternetSite</b:SourceType>
    <b:Guid>{C88409FF-9C8A-40B7-BF5D-0F65D366578A}</b:Guid>
    <b:Author>
      <b:Author>
        <b:Corporate>Rina Atriana</b:Corporate>
      </b:Author>
    </b:Author>
    <b:Title>Dukung Ahok, Front Betawi Bersatu: Jangan Takut, Pak!</b:Title>
    <b:InternetSiteTitle>detik.com</b:InternetSiteTitle>
    <b:Year>2016</b:Year>
    <b:Month>November</b:Month>
    <b:Day>18</b:Day>
    <b:URL>http://news.detik.com/berita/3348338/dukung-ahok-front-betawi-bersatu-jangan-takut-pak</b:URL>
    <b:RefOrder>128</b:RefOrder>
  </b:Source>
  <b:Source>
    <b:Tag>Tau16</b:Tag>
    <b:SourceType>InternetSite</b:SourceType>
    <b:Guid>{FC50D755-30B0-4F16-8EA7-469FD0A853F6}</b:Guid>
    <b:Author>
      <b:Author>
        <b:Corporate>Taufik Fajar</b:Corporate>
      </b:Author>
    </b:Author>
    <b:Title>Anies-Sandi Dapat Dukungan dari Paguyuban Kuningan Jabar</b:Title>
    <b:InternetSiteTitle>okezone.com</b:InternetSiteTitle>
    <b:Year>2016</b:Year>
    <b:Month>Maret</b:Month>
    <b:Day>26</b:Day>
    <b:URL>https://megapolitan.okezone.com/read/2017/03/26/338/1651548/anies-sandi-dapat-dukungan-dari-paguyuban-kuningan-jabar</b:URL>
    <b:RefOrder>129</b:RefOrder>
  </b:Source>
  <b:Source>
    <b:Tag>Irw17</b:Tag>
    <b:SourceType>InternetSite</b:SourceType>
    <b:Guid>{5DE6A994-1002-4DA1-9CC2-58A6B244EE21}</b:Guid>
    <b:Author>
      <b:Author>
        <b:Corporate>Irwandi Arsyad</b:Corporate>
      </b:Author>
    </b:Author>
    <b:Title>Warga Madura di Jakarta Deklarasi Dukung Anies-Sandi</b:Title>
    <b:InternetSiteTitle>www.viva.co.id</b:InternetSiteTitle>
    <b:Year>2017</b:Year>
    <b:Month>Maret</b:Month>
    <b:Day>8</b:Day>
    <b:URL>https://www.viva.co.id/berita/metro/891579-warga-madura-di-jakarta-deklarasi-dukung-anies-sandi</b:URL>
    <b:RefOrder>130</b:RefOrder>
  </b:Source>
  <b:Source>
    <b:Tag>Alf171</b:Tag>
    <b:SourceType>InternetSite</b:SourceType>
    <b:Guid>{033364EC-B72E-40A1-AE4C-BE14653CB881}</b:Guid>
    <b:Author>
      <b:Author>
        <b:Corporate>Alfian Risfil</b:Corporate>
      </b:Author>
    </b:Author>
    <b:Title>Keluarga Besar Betawi Dukung Anies-Sandi</b:Title>
    <b:InternetSiteTitle>www.teropongsenayan.com</b:InternetSiteTitle>
    <b:Year>2017</b:Year>
    <b:Month>Februari</b:Month>
    <b:Day>2</b:Day>
    <b:URL>http://www.teropongsenayan.com/56902-keluarga-besar-betawi-dukung-anies-sandi</b:URL>
    <b:RefOrder>131</b:RefOrder>
  </b:Source>
  <b:Source>
    <b:Tag>Wil17</b:Tag>
    <b:SourceType>InternetSite</b:SourceType>
    <b:Guid>{01A1CAEE-C43F-49FA-A177-7F972B8CD669}</b:Guid>
    <b:Author>
      <b:Author>
        <b:Corporate>Wil</b:Corporate>
      </b:Author>
    </b:Author>
    <b:Title>Laskar Betawi Deklarasi Dukung Anies - Sandi</b:Title>
    <b:InternetSiteTitle>okezone.com</b:InternetSiteTitle>
    <b:Year>2017</b:Year>
    <b:Month>Maret</b:Month>
    <b:Day>27</b:Day>
    <b:URL>https://news.okezone.com/play/2017/03/27/1/92792/laskar-betawi-deklarasi-dukung-anies-sandi</b:URL>
    <b:RefOrder>132</b:RefOrder>
  </b:Source>
  <b:Source>
    <b:Tag>Tim17</b:Tag>
    <b:SourceType>InternetSite</b:SourceType>
    <b:Guid>{FC8CA999-F241-44C7-B9F8-BB789761FDD9}</b:Guid>
    <b:Author>
      <b:Author>
        <b:Corporate>Tim Viva</b:Corporate>
      </b:Author>
    </b:Author>
    <b:Title>Komunitas Jawara Betawi Deklarasi Dukung Anies-Sandi</b:Title>
    <b:InternetSiteTitle>www.viva.co.id</b:InternetSiteTitle>
    <b:Year>2017</b:Year>
    <b:Month>April</b:Month>
    <b:Day>2</b:Day>
    <b:URL>https://www.viva.co.id/berita/metro/900682-komunitas-jawara-betawi-deklarasi-dukung-anies-sandi</b:URL>
    <b:RefOrder>133</b:RefOrder>
  </b:Source>
  <b:Source>
    <b:Tag>rmo17</b:Tag>
    <b:SourceType>InternetSite</b:SourceType>
    <b:Guid>{DC7A3D61-B26D-4C16-861C-3B95A2DDEFBE}</b:Guid>
    <b:Author>
      <b:Author>
        <b:Corporate>rmoljakarta.com</b:Corporate>
      </b:Author>
    </b:Author>
    <b:Title>Warga Sultra Di Jakarta Dukung Anies-Sandi</b:Title>
    <b:InternetSiteTitle>www.rmoljakarta.com</b:InternetSiteTitle>
    <b:Year>2017</b:Year>
    <b:Month>Maret</b:Month>
    <b:Day>1</b:Day>
    <b:URL>https://www.rmoljakarta.com/read/2017/03/01/43459/Warga-Sultra-Di-Jakarta-Dukung-Anies-Sandi-</b:URL>
    <b:RefOrder>134</b:RefOrder>
  </b:Source>
  <b:Source>
    <b:Tag>Aud17</b:Tag>
    <b:SourceType>InternetSite</b:SourceType>
    <b:Guid>{0B7981F7-AB7A-4475-BB09-88BB14C64A20}</b:Guid>
    <b:Author>
      <b:Author>
        <b:Corporate>Audrey Santoso</b:Corporate>
      </b:Author>
    </b:Author>
    <b:Title>Didukung Masyarakat Indonesia Timur, Anies Menari Cakalele</b:Title>
    <b:InternetSiteTitle>detik.com</b:InternetSiteTitle>
    <b:Year>2017</b:Year>
    <b:Month>April</b:Month>
    <b:Day>15</b:Day>
    <b:URL>https://news.detik.com/berita/d-3475282/didukung-masyarakat-indonesia-timur-anies-menari-cakalele</b:URL>
    <b:RefOrder>135</b:RefOrder>
  </b:Source>
  <b:Source>
    <b:Tag>Ray17</b:Tag>
    <b:SourceType>InternetSite</b:SourceType>
    <b:Guid>{E061590E-5FBB-469B-B557-E9741440C271}</b:Guid>
    <b:Author>
      <b:Author>
        <b:Corporate>Rayful Mudassir</b:Corporate>
      </b:Author>
    </b:Author>
    <b:Title>Giliran Relawan Masyarakat Aceh Serantau Dukung Anies-Sandi di Pilkada DKI</b:Title>
    <b:InternetSiteTitle>okezone.com</b:InternetSiteTitle>
    <b:Year>2017</b:Year>
    <b:Month>April</b:Month>
    <b:Day>8</b:Day>
    <b:URL>https://megapolitan.okezone.com/read/2017/04/08/338/1662372/giliran-relawan-masyarakat-aceh-serantau-dukung-anies-sandi-di-pilkada-dki</b:URL>
    <b:RefOrder>136</b:RefOrder>
  </b:Source>
  <b:Source xmlns:b="http://schemas.openxmlformats.org/officeDocument/2006/bibliography">
    <b:Tag>Har10</b:Tag>
    <b:SourceType>Book</b:SourceType>
    <b:Guid>{B64947AE-CDE4-4961-A010-B1A12E41378F}</b:Guid>
    <b:Author>
      <b:Author>
        <b:Corporate>Herdiansyah, Haris</b:Corporate>
      </b:Author>
    </b:Author>
    <b:Title>Metodologi Penelitian Kualitatif Untuk Ilmu-ilmu Sosial</b:Title>
    <b:Year>2010</b:Year>
    <b:City>Jakarta</b:City>
    <b:Publisher>Penerbit Salemba Humanika</b:Publisher>
    <b:LCID>en-ID</b:LCID>
    <b:RefOrder>137</b:RefOrder>
  </b:Source>
  <b:Source>
    <b:Tag>Ana16</b:Tag>
    <b:SourceType>JournalArticle</b:SourceType>
    <b:Guid>{645EFD8B-F98C-460B-A4F3-CB0756C2B28C}</b:Guid>
    <b:Title>Budget Transparency and Legislative Budgetary Oversight: An International Approach</b:Title>
    <b:Year>2014</b:Year>
    <b:City>Inggris</b:City>
    <b:Author>
      <b:Author>
        <b:NameList>
          <b:Person>
            <b:Last>Rios</b:Last>
            <b:First>Ana</b:First>
            <b:Middle>Maria</b:Middle>
          </b:Person>
          <b:Person>
            <b:Last>Bastida</b:Last>
            <b:First>Francisco</b:First>
          </b:Person>
          <b:Person>
            <b:Last>Benito</b:Last>
            <b:First>Bernardino</b:First>
          </b:Person>
        </b:NameList>
      </b:Author>
    </b:Author>
    <b:JournalName>American Review Of Publik Administration</b:JournalName>
    <b:Pages>1-23</b:Pages>
    <b:Volume>Vol 46 (5)</b:Volume>
    <b:Publisher>Sage Pub</b:Publisher>
    <b:RefOrder>138</b:RefOrder>
  </b:Source>
  <b:Source>
    <b:Tag>Weh12</b:Tag>
    <b:SourceType>JournalArticle</b:SourceType>
    <b:Guid>{6427EE0F-567A-4004-8190-C6B36222F109}</b:Guid>
    <b:Title>Transparency Matters: The Concept of Organizational transparency In the Academic Discourse</b:Title>
    <b:JournalName>Public Relations Inquiry</b:JournalName>
    <b:Year>2012</b:Year>
    <b:Pages>337-366</b:Pages>
    <b:Author>
      <b:Author>
        <b:NameList>
          <b:Person>
            <b:Last>Wehmeier</b:Last>
            <b:First>Stefan</b:First>
          </b:Person>
          <b:Person>
            <b:Last>Raaz</b:Last>
            <b:First>Oliver</b:First>
          </b:Person>
        </b:NameList>
      </b:Author>
    </b:Author>
    <b:City>Inggris</b:City>
    <b:Publisher>Sage Pub</b:Publisher>
    <b:Volume>I (3)</b:Volume>
    <b:RefOrder>139</b:RefOrder>
  </b:Source>
  <b:Source>
    <b:Tag>Int19</b:Tag>
    <b:SourceType>InternetSite</b:SourceType>
    <b:Guid>{32BB71E2-0FA5-43DF-8FF8-28F8D8E66820}</b:Guid>
    <b:Title>Open Budget Survey 2019: Indonesia</b:Title>
    <b:Year>2019</b:Year>
    <b:Author>
      <b:Author>
        <b:Corporate>International Budget Partnership</b:Corporate>
      </b:Author>
    </b:Author>
    <b:InternetSiteTitle>https://www.internationalbudget.org</b:InternetSiteTitle>
    <b:Month>Desember</b:Month>
    <b:Day>20</b:Day>
    <b:URL>https://www.internationalbudget.org/open-budget-survey/country-results/2019/indonesia</b:URL>
    <b:YearAccessed>2020</b:YearAccessed>
    <b:MonthAccessed>Novemeber</b:MonthAccessed>
    <b:DayAccessed>16</b:DayAccessed>
    <b:RefOrder>140</b:RefOrder>
  </b:Source>
  <b:Source>
    <b:Tag>int20</b:Tag>
    <b:SourceType>DocumentFromInternetSite</b:SourceType>
    <b:Guid>{D240AD9C-471F-43EE-A7E3-3142ECF59542}</b:Guid>
    <b:Author>
      <b:Author>
        <b:NameList>
          <b:Person>
            <b:Last>internationalbudget.org</b:Last>
          </b:Person>
        </b:NameList>
      </b:Author>
    </b:Author>
    <b:Title>Penyusunan Anggaran Partisipatif di Seluruh Dunia</b:Title>
    <b:InternetSiteTitle>https://www.internationalbudget.org/wp-content/uploads/newsletter73-final-Bahasa.pdf diakses pada 03 Maret 2020</b:InternetSiteTitle>
    <b:Year>2013</b:Year>
    <b:Month>Mei</b:Month>
    <b:RefOrder>141</b:RefOrder>
  </b:Source>
  <b:Source>
    <b:Tag>Shi20</b:Tag>
    <b:SourceType>InternetSite</b:SourceType>
    <b:Guid>{FE3B7EE6-83C9-4A51-B3A3-6ACD62F71B43}</b:Guid>
    <b:Title>Indeks Keterbukaan Anggaran Indonesia Naik di Level 64</b:Title>
    <b:InternetSiteTitle>https://tirto.id/indeks-keterbukaan-anggaran-indonesia-naik-di-level-64-cJk2 Diakses pada 04 Maret 2020</b:InternetSiteTitle>
    <b:Year>2018</b:Year>
    <b:Month>April</b:Month>
    <b:Day>24</b:Day>
    <b:Author>
      <b:Author>
        <b:NameList>
          <b:Person>
            <b:Last>Sicca</b:Last>
            <b:First>Shintaloka</b:First>
            <b:Middle>Pradita</b:Middle>
          </b:Person>
        </b:NameList>
      </b:Author>
    </b:Author>
    <b:RefOrder>142</b:RefOrder>
  </b:Source>
  <b:Source>
    <b:Tag>Isw20</b:Tag>
    <b:SourceType>InternetSite</b:SourceType>
    <b:Guid>{DC8C273B-6135-4290-85E3-1905875CBEC6}</b:Guid>
    <b:Author>
      <b:Author>
        <b:NameList>
          <b:Person>
            <b:Last>Raditya</b:Last>
            <b:First>Iswara</b:First>
            <b:Middle>N</b:Middle>
          </b:Person>
        </b:NameList>
      </b:Author>
    </b:Author>
    <b:Title>Sejarah Lem Aibon, Penyalahgunaan, &amp; Anggaran Janggal Disdik DKI</b:Title>
    <b:InternetSiteTitle>https://tirto.id/sejarah-lem-aibon-penyalahgunaan-anggaran-janggal-disdik-dki-ekQU Diakses pada 04 Maret 2020</b:InternetSiteTitle>
    <b:Year>2019</b:Year>
    <b:Month>Oktober</b:Month>
    <b:Day>30</b:Day>
    <b:RefOrder>143</b:RefOrder>
  </b:Source>
  <b:Source>
    <b:Tag>Bur15</b:Tag>
    <b:SourceType>JournalArticle</b:SourceType>
    <b:Guid>{7E99B4AD-B754-4CCE-A51D-31F1E5649825}</b:Guid>
    <b:Title>Analisis Konsistensi Perencanaan dan Penganggaran Daerah</b:Title>
    <b:Year>2015</b:Year>
    <b:JournalName>Ekonomika-Bisnis</b:JournalName>
    <b:Pages>177-188</b:Pages>
    <b:Author>
      <b:Author>
        <b:NameList>
          <b:Person>
            <b:Last>Burin</b:Last>
            <b:Middle>Diri</b:Middle>
            <b:First>Ferdinandus</b:First>
          </b:Person>
        </b:NameList>
      </b:Author>
    </b:Author>
    <b:RefOrder>144</b:RefOrder>
  </b:Source>
  <b:Source>
    <b:Tag>Placeholder1</b:Tag>
    <b:SourceType>JournalArticle</b:SourceType>
    <b:Guid>{DF192FDA-E015-4A7A-8766-5478C9DE57DE}</b:Guid>
    <b:Author>
      <b:Author>
        <b:NameList>
          <b:Person>
            <b:Last>Anisah</b:Last>
          </b:Person>
        </b:NameList>
      </b:Author>
    </b:Author>
    <b:Title>Pengawasan Pelaksanaan Anggaran Oleh Dewan Perwakilan Rakyat Daerah (DPRD) Kabupaten Rokan Hulu Tahun 2014</b:Title>
    <b:Year>2017</b:Year>
    <b:JournalName>JOM FISIP Universitas Riau</b:JournalName>
    <b:Pages>1-13</b:Pages>
    <b:RefOrder>145</b:RefOrder>
  </b:Source>
  <b:Source>
    <b:Tag>And19</b:Tag>
    <b:SourceType>Book</b:SourceType>
    <b:Guid>{AB0B55A2-64CD-403B-8205-50C14CFB5AC0}</b:Guid>
    <b:Author>
      <b:Author>
        <b:NameList>
          <b:Person>
            <b:Last>Hamsiah</b:Last>
            <b:First>Andi</b:First>
          </b:Person>
        </b:NameList>
      </b:Author>
    </b:Author>
    <b:Title>Managemen Keuangan Daerah dalam Era Otonomi Daerah; Sebuah Kajian Teoritis dan empiris</b:Title>
    <b:Year>2019</b:Year>
    <b:City>Bogor</b:City>
    <b:Publisher>Azkiya Publishing </b:Publisher>
    <b:RefOrder>146</b:RefOrder>
  </b:Source>
  <b:Source>
    <b:Tag>Hud18</b:Tag>
    <b:SourceType>JournalArticle</b:SourceType>
    <b:Guid>{ABCF4BB1-F29B-41CC-8521-280B87269896}</b:Guid>
    <b:Title>Pendidikan Konservasi Perspektif Warisan Budaya Untuk Membangun History For Life</b:Title>
    <b:JournalName>ARISTO</b:JournalName>
    <b:Year>2018</b:Year>
    <b:Pages>329-343</b:Pages>
    <b:Author>
      <b:Author>
        <b:NameList>
          <b:Person>
            <b:Last>Huda</b:Last>
            <b:First>Khoirul </b:First>
          </b:Person>
          <b:Person>
            <b:Last>Feriandi</b:Last>
            <b:Middle>Ardian </b:Middle>
            <b:First>Yoga</b:First>
          </b:Person>
        </b:NameList>
      </b:Author>
    </b:Author>
    <b:RefOrder>147</b:RefOrder>
  </b:Source>
  <b:Source>
    <b:Tag>Sug12</b:Tag>
    <b:SourceType>Book</b:SourceType>
    <b:Guid>{210407E1-6325-4A42-AE1E-8A5B06266FC0}</b:Guid>
    <b:Title>Metode Penelitian Kuantitatif, Kualitatif, dan R&amp;D</b:Title>
    <b:Year>2012</b:Year>
    <b:Author>
      <b:Author>
        <b:NameList>
          <b:Person>
            <b:Last>Sugiono</b:Last>
          </b:Person>
        </b:NameList>
      </b:Author>
    </b:Author>
    <b:City>Bandung</b:City>
    <b:Publisher>Alfabeta</b:Publisher>
    <b:RefOrder>148</b:RefOrder>
  </b:Source>
  <b:Source>
    <b:Tag>Zed14</b:Tag>
    <b:SourceType>Book</b:SourceType>
    <b:Guid>{D371B682-E045-4F69-B539-720C77810BCE}</b:Guid>
    <b:Author>
      <b:Author>
        <b:NameList>
          <b:Person>
            <b:Last>Zed</b:Last>
            <b:First>Mestika</b:First>
          </b:Person>
        </b:NameList>
      </b:Author>
    </b:Author>
    <b:Title>Metode Penelitian Kepustakaan</b:Title>
    <b:Year>2014</b:Year>
    <b:Publisher>Yayasan Pustaka Obor Indonesia</b:Publisher>
    <b:City>Jakarta</b:City>
    <b:Edition>cetakan ke 3</b:Edition>
    <b:RefOrder>149</b:RefOrder>
  </b:Source>
  <b:Source>
    <b:Tag>Bol15</b:Tag>
    <b:SourceType>JournalArticle</b:SourceType>
    <b:Guid>{7DB0E4D4-71C7-49BB-8930-C34871D612AA}</b:Guid>
    <b:Title>Online Budget Transparency in OECD Member Countries and Administrative Culture</b:Title>
    <b:JournalName>Administration &amp; Society</b:JournalName>
    <b:Year>2015</b:Year>
    <b:Pages>943-982</b:Pages>
    <b:Author>
      <b:Author>
        <b:NameList>
          <b:Person>
            <b:Last>Boliviar</b:Last>
            <b:Middle>Pedro Rodriguez</b:Middle>
            <b:First>Manuel</b:First>
          </b:Person>
          <b:Person>
            <b:Last>Perez</b:Last>
            <b:Middle>del Carmen Caba</b:Middle>
            <b:First>Maria</b:First>
          </b:Person>
          <b:Person>
            <b:Last>Hermandez</b:Last>
            <b:Middle>M. Lopez</b:Middle>
            <b:First>Antonio</b:First>
          </b:Person>
        </b:NameList>
      </b:Author>
    </b:Author>
    <b:Publisher>SAGE Pub</b:Publisher>
    <b:Volume>47(8)</b:Volume>
    <b:RefOrder>150</b:RefOrder>
  </b:Source>
  <b:Source>
    <b:Tag>Har14</b:Tag>
    <b:SourceType>JournalArticle</b:SourceType>
    <b:Guid>{A5C86825-3482-4586-A12E-A9018C5806AD}</b:Guid>
    <b:Title>E-Voting: Kebutuhan vs. Kesiapan (Menyongsong) E-Demokrasi</b:Title>
    <b:JournalName>Jurnal Konstitusi</b:JournalName>
    <b:Year>2014</b:Year>
    <b:Pages>579-604</b:Pages>
    <b:Author>
      <b:Author>
        <b:NameList>
          <b:Person>
            <b:Last>Hardjaloka</b:Last>
            <b:First>Loura </b:First>
          </b:Person>
          <b:Person>
            <b:Last>Simarmata</b:Last>
            <b:Middle>Megawati </b:Middle>
            <b:First>Varida</b:First>
          </b:Person>
        </b:NameList>
      </b:Author>
    </b:Author>
    <b:Volume>Volume 8</b:Volume>
    <b:RefOrder>151</b:RefOrder>
  </b:Source>
  <b:Source>
    <b:Tag>Far</b:Tag>
    <b:SourceType>JournalArticle</b:SourceType>
    <b:Guid>{71F0F00F-0D7C-4337-A975-15FDC61B89FB}</b:Guid>
    <b:Author>
      <b:Author>
        <b:NameList>
          <b:Person>
            <b:Last>Fariyansyah</b:Last>
            <b:First>Ardy</b:First>
          </b:Person>
          <b:Person>
            <b:Last>Irianto</b:Last>
            <b:First>Gugus</b:First>
          </b:Person>
          <b:Person>
            <b:First>Roekhudin</b:First>
          </b:Person>
        </b:NameList>
      </b:Author>
    </b:Author>
    <b:Title>Akuntabilitas Vertikal-Horisontal Aparatur publik dalam Perspektif Interpretative Phenomenology Heidegger</b:Title>
    <b:JournalName>Jurnal Akuntansi Aktual</b:JournalName>
    <b:Year>2018</b:Year>
    <b:Pages>168-177</b:Pages>
    <b:RefOrder>152</b:RefOrder>
  </b:Source>
  <b:Source>
    <b:Tag>Cuc15</b:Tag>
    <b:SourceType>JournalArticle</b:SourceType>
    <b:Guid>{4C858323-079E-4352-AA2B-3EFA5A0D10AB}</b:Guid>
    <b:Title>Assessing Public Preferences and the Level of Transparency in Government Using an Exploratory Approach</b:Title>
    <b:JournalName>Social Science</b:JournalName>
    <b:Year>2015</b:Year>
    <b:Pages>571-586</b:Pages>
    <b:Author>
      <b:Author>
        <b:Corporate>Cucciniello, Maria; Belle, Nicola; Nasi, Greta; Valotti, Giovanni;</b:Corporate>
      </b:Author>
    </b:Author>
    <b:Publisher>Sage  Pub</b:Publisher>
    <b:RefOrder>153</b:RefOrder>
  </b:Source>
  <b:Source>
    <b:Tag>Har17</b:Tag>
    <b:SourceType>JournalArticle</b:SourceType>
    <b:Guid>{66146113-35DC-403C-8FFE-BC7A933C12AD}</b:Guid>
    <b:Author>
      <b:Author>
        <b:NameList>
          <b:Person>
            <b:Last>Harwood</b:Last>
            <b:First>William</b:First>
            <b:Middle>H</b:Middle>
          </b:Person>
        </b:NameList>
      </b:Author>
    </b:Author>
    <b:Title>Secrecy, Transparency an Government Whistleblowing</b:Title>
    <b:JournalName>Philosophy and Social Criticism</b:JournalName>
    <b:Year>2017</b:Year>
    <b:Pages>164-186</b:Pages>
    <b:Publisher>Sage Pub</b:Publisher>
    <b:RefOrder>154</b:RefOrder>
  </b:Source>
  <b:Source>
    <b:Tag>Kim15</b:Tag>
    <b:SourceType>JournalArticle</b:SourceType>
    <b:Guid>{D50496E7-5F57-4CDC-89A5-4DF6ADBBE16A}</b:Guid>
    <b:Title>A Panel Data Analysis Of The Impacts Of Institutional Differences on Local Governments' Budgetary Decisions</b:Title>
    <b:JournalName>International Review of Administrative Sciences</b:JournalName>
    <b:Year>2015</b:Year>
    <b:Pages>1-21</b:Pages>
    <b:Author>
      <b:Author>
        <b:NameList>
          <b:Person>
            <b:Last>Kim</b:Last>
            <b:First>Soojin</b:First>
          </b:Person>
          <b:Person>
            <b:Last>Eom</b:Last>
            <b:Middle>Ho</b:Middle>
            <b:First>Tae</b:First>
          </b:Person>
        </b:NameList>
      </b:Author>
    </b:Author>
    <b:Publisher>Sage Pub</b:Publisher>
    <b:RefOrder>155</b:RefOrder>
  </b:Source>
  <b:Source>
    <b:Tag>Lew15</b:Tag>
    <b:SourceType>JournalArticle</b:SourceType>
    <b:Guid>{3823D853-B12A-41A9-B4FD-F87A330E9B94}</b:Guid>
    <b:Title>Institutional Characteristics and State Policy Priorities: The Impact of Legislatures and Governors</b:Title>
    <b:JournalName>Sage Pub</b:JournalName>
    <b:Year>2015</b:Year>
    <b:Pages>447-475</b:Pages>
    <b:Author>
      <b:Author>
        <b:NameList>
          <b:Person>
            <b:Last>Lewis</b:Last>
            <b:Middle>C.</b:Middle>
            <b:First>Daniel </b:First>
          </b:Person>
          <b:Person>
            <b:Last>Schneider</b:Last>
            <b:Middle>K. </b:Middle>
            <b:First>Saundra</b:First>
          </b:Person>
          <b:Person>
            <b:Last>Jacoby</b:Last>
            <b:Middle>G. </b:Middle>
            <b:First>William </b:First>
          </b:Person>
        </b:NameList>
      </b:Author>
    </b:Author>
    <b:RefOrder>156</b:RefOrder>
  </b:Source>
  <b:Source>
    <b:Tag>Fon15</b:Tag>
    <b:SourceType>JournalArticle</b:SourceType>
    <b:Guid>{D82BA2B3-9F68-4511-8DC3-84FB8AAC8980}</b:Guid>
    <b:Author>
      <b:Author>
        <b:NameList>
          <b:Person>
            <b:Last>Fong</b:Last>
            <b:First>Brian</b:First>
          </b:Person>
        </b:NameList>
      </b:Author>
    </b:Author>
    <b:Title>The politics Of Budget Surpluses:the case of China’s Hong Kong SAR</b:Title>
    <b:JournalName>International Review of Administrative Sciences</b:JournalName>
    <b:Year>2015</b:Year>
    <b:Pages>134-157</b:Pages>
    <b:Publisher>Sage Pub</b:Publisher>
    <b:RefOrder>157</b:RefOrder>
  </b:Source>
  <b:Source>
    <b:Tag>Fir</b:Tag>
    <b:SourceType>JournalArticle</b:SourceType>
    <b:Guid>{B6986297-8AB6-426C-9AC1-1CF61BF8F24E}</b:Guid>
    <b:Author>
      <b:Author>
        <b:NameList>
          <b:Person>
            <b:Last>Noor</b:Last>
            <b:First>Firman</b:First>
          </b:Person>
        </b:NameList>
      </b:Author>
    </b:Author>
    <b:Title>Oposisi dalam Kehidupan Demokrasi: Arti Penting Keberadaan Oposisi Sebagai bagian Penguatan Demokrasi di Indonesia</b:Title>
    <b:JournalName>Lembaga Ilmu Pengetahuan Indonesia</b:JournalName>
    <b:Year>2016</b:Year>
    <b:Pages>1-17</b:Pages>
    <b:RefOrder>158</b:RefOrder>
  </b:Source>
  <b:Source>
    <b:Tag>Placeholder2</b:Tag>
    <b:SourceType>JournalArticle</b:SourceType>
    <b:Guid>{3FFD6509-0302-42FB-939A-465E4C82B164}</b:Guid>
    <b:Author>
      <b:Author>
        <b:NameList>
          <b:Person>
            <b:Last>Putera</b:Last>
            <b:First>Roni</b:First>
            <b:Middle>Ekha</b:Middle>
          </b:Person>
        </b:NameList>
      </b:Author>
    </b:Author>
    <b:Title>PENGELOLAAN KEUANGAN DAERAH YANG TRANSPARAN DI KABUPATEN TANAH DATAR DALAM MELAKSANAKAN DESENTRALISASI FISKAL</b:Title>
    <b:JournalName>Sosiohumaniora</b:JournalName>
    <b:Year>2016</b:Year>
    <b:Pages>261-269</b:Pages>
    <b:RefOrder>159</b:RefOrder>
  </b:Source>
  <b:Source>
    <b:Tag>Muh18</b:Tag>
    <b:SourceType>JournalArticle</b:SourceType>
    <b:Guid>{5E7E2FB6-EB9A-4F51-B5FA-6E11F1CD5DDD}</b:Guid>
    <b:Title>Penganggaran Daerah: Dinamika Politik Menuju Konsensus</b:Title>
    <b:Year>2018</b:Year>
    <b:Author>
      <b:Author>
        <b:NameList>
          <b:Person>
            <b:Last>Aufa</b:Last>
            <b:First>Muhammad</b:First>
          </b:Person>
        </b:NameList>
      </b:Author>
    </b:Author>
    <b:JournalName>Journal Of Islamic Accounting and Tax</b:JournalName>
    <b:Pages>172-184</b:Pages>
    <b:RefOrder>160</b:RefOrder>
  </b:Source>
  <b:Source>
    <b:Tag>Bir16</b:Tag>
    <b:SourceType>JournalArticle</b:SourceType>
    <b:Guid>{C7F873E3-6B58-4E3D-A437-567632B4DE91}</b:Guid>
    <b:Title>State Budgetary Delays in an Era of Party Polarization</b:Title>
    <b:Year>2016</b:Year>
    <b:Publisher>Sage Pub</b:Publisher>
    <b:Author>
      <b:Author>
        <b:NameList>
          <b:Person>
            <b:Last>Birkhead</b:Last>
            <b:First>Nathaniel</b:First>
            <b:Middle>A</b:Middle>
          </b:Person>
        </b:NameList>
      </b:Author>
    </b:Author>
    <b:JournalName>State and Local Government Review</b:JournalName>
    <b:Pages>259-269</b:Pages>
    <b:Volume>Vol 48 (4)</b:Volume>
    <b:RefOrder>161</b:RefOrder>
  </b:Source>
  <b:Source>
    <b:Tag>Atm13</b:Tag>
    <b:SourceType>JournalArticle</b:SourceType>
    <b:Guid>{50FFCB84-B5BF-45F7-957D-240DB68F7295}</b:Guid>
    <b:Title>PEMBERDAYAAN MASYARAKAT SEBAGAI UPAYA PENGENTASAN KEMISKINAN</b:Title>
    <b:Year>2013</b:Year>
    <b:Author>
      <b:Author>
        <b:NameList>
          <b:Person>
            <b:Last>Ras</b:Last>
            <b:First>Atma</b:First>
          </b:Person>
        </b:NameList>
      </b:Author>
    </b:Author>
    <b:JournalName>Socius</b:JournalName>
    <b:Pages>56-63</b:Pages>
    <b:RefOrder>162</b:RefOrder>
  </b:Source>
  <b:Source>
    <b:Tag>Ell11</b:Tag>
    <b:SourceType>Book</b:SourceType>
    <b:Guid>{4D80EF6B-1380-4734-8C65-3857246D6416}</b:Guid>
    <b:Title>PENGANTAR SOSIOLOGI; PEMAHAMAN FAKTA DAN GEJALA PERMASALAHANA SOSIAL: TEORI, APLIAKSI, DAN PEMECAHANNYA</b:Title>
    <b:Year>2011</b:Year>
    <b:Author>
      <b:Author>
        <b:NameList>
          <b:Person>
            <b:Last>Setiady</b:Last>
            <b:First>Elly</b:First>
            <b:Middle>M.</b:Middle>
          </b:Person>
          <b:Person>
            <b:Last>Kolip</b:Last>
            <b:First>Usma</b:First>
          </b:Person>
        </b:NameList>
      </b:Author>
    </b:Author>
    <b:City>Jakarta</b:City>
    <b:Publisher>Prenada Media Group</b:Publisher>
    <b:RefOrder>163</b:RefOrder>
  </b:Source>
  <b:Source>
    <b:Tag>Ahm14</b:Tag>
    <b:SourceType>JournalArticle</b:SourceType>
    <b:Guid>{724277F7-4D33-4B59-B6D2-F616B0DFB28D}</b:Guid>
    <b:Title>PERTUMBUHAN EKONOMI DAN KEMISKINAN DI INDONESIA</b:Title>
    <b:Year>2014</b:Year>
    <b:Author>
      <b:Author>
        <b:NameList>
          <b:Person>
            <b:Last>Soleh</b:Last>
            <b:First>Ahmad</b:First>
          </b:Person>
        </b:NameList>
      </b:Author>
    </b:Author>
    <b:JournalName>Ekombis Review</b:JournalName>
    <b:Pages>197-209</b:Pages>
    <b:RefOrder>164</b:RefOrder>
  </b:Source>
  <b:Source>
    <b:Tag>Fit13</b:Tag>
    <b:SourceType>JournalArticle</b:SourceType>
    <b:Guid>{0B9E5DB9-F80E-4D30-BD4C-907ABE710C63}</b:Guid>
    <b:Title>DAMPAK URBANISASI BAGI PERKEMBANGAN KOTA DI INDONESIA</b:Title>
    <b:Year>2013</b:Year>
    <b:Pages>35-45</b:Pages>
    <b:Author>
      <b:Author>
        <b:NameList>
          <b:Person>
            <b:Last>Harahap</b:Last>
            <b:First>Fitri</b:First>
            <b:Middle>Ramdani</b:Middle>
          </b:Person>
        </b:NameList>
      </b:Author>
    </b:Author>
    <b:JournalName>Jurnal Society</b:JournalName>
    <b:RefOrder>165</b:RefOrder>
  </b:Source>
  <b:Source>
    <b:Tag>Ria14</b:Tag>
    <b:SourceType>Book</b:SourceType>
    <b:Guid>{73268AAC-F3C3-481E-975A-8E1C97E8A5C4}</b:Guid>
    <b:Title>PUBLIC POLICY, TEORI, MANAJEMEN, DINAMIKA, ANALISIS, KONVERGENSI DAN KIMIA KEBIJAKAN</b:Title>
    <b:Year>2014</b:Year>
    <b:Author>
      <b:Author>
        <b:NameList>
          <b:Person>
            <b:Last>Nugroho</b:Last>
            <b:First>Riant</b:First>
          </b:Person>
        </b:NameList>
      </b:Author>
    </b:Author>
    <b:City>Jakarta</b:City>
    <b:Publisher>IKAPI Jakarta</b:Publisher>
    <b:RefOrder>166</b:RefOrder>
  </b:Source>
  <b:Source>
    <b:Tag>Djo18</b:Tag>
    <b:SourceType>JournalArticle</b:SourceType>
    <b:Guid>{A483D9DD-B9F9-4D29-95CA-9DB150CF30E8}</b:Guid>
    <b:Author>
      <b:Author>
        <b:NameList>
          <b:Person>
            <b:Last>Suyono</b:Last>
            <b:First>Djoko</b:First>
          </b:Person>
          <b:Person>
            <b:Last>Rismanto</b:Last>
          </b:Person>
        </b:NameList>
      </b:Author>
    </b:Author>
    <b:Title>Implementasi Peraturan Menteri dalam Negeri Nomor 84 Tahun 2015 Tentang SOTK  Pemerintah Desa di Kecamatan Watukumpul Kabupaten Pemalang</b:Title>
    <b:JournalName>Indonesian Governance Journal : Kajian Politik - Pemerintahan</b:JournalName>
    <b:Year>2018</b:Year>
    <b:Pages>25-36</b:Pages>
    <b:RefOrder>167</b:RefOrder>
  </b:Source>
  <b:Source>
    <b:Tag>Suh16</b:Tag>
    <b:SourceType>JournalArticle</b:SourceType>
    <b:Guid>{17ED6970-01A7-49EE-8B29-1D550ADF6F3C}</b:Guid>
    <b:Author>
      <b:Author>
        <b:NameList>
          <b:Person>
            <b:Last>Suherry</b:Last>
          </b:Person>
        </b:NameList>
      </b:Author>
    </b:Author>
    <b:Title>IMPLEMENTASI KEBIJAKAN PERATURAN PEMERINTAH REPUBLIK INDONESIA NOMOR 47 TAHUN 2007 TENTANG KAWASAN PERDAGANGAN BEBAS DAN PELABUHAN BEBAS BINTAN</b:Title>
    <b:JournalName>Jurnal Ilmu Pemerintahan : Kajian Ilmu Pemerintahan dan Politik Daerah</b:JournalName>
    <b:Year>2016</b:Year>
    <b:Pages>229-246</b:Pages>
    <b:RefOrder>168</b:RefOrder>
  </b:Source>
  <b:Source>
    <b:Tag>Kem19</b:Tag>
    <b:SourceType>InternetSite</b:SourceType>
    <b:Guid>{19288923-4B05-4EFF-880D-CE525FF68BC9}</b:Guid>
    <b:Title>https://pkh.kemsos.go.id/?pg=dashome</b:Title>
    <b:Year>2019</b:Year>
    <b:Author>
      <b:Author>
        <b:NameList>
          <b:Person>
            <b:Last>Sosial</b:Last>
            <b:First>Kementerian</b:First>
          </b:Person>
        </b:NameList>
      </b:Author>
    </b:Author>
    <b:InternetSiteTitle>https://pkh.kemsos.go.id</b:InternetSiteTitle>
    <b:Month>Februari</b:Month>
    <b:Day>12</b:Day>
    <b:RefOrder>169</b:RefOrder>
  </b:Source>
  <b:Source>
    <b:Tag>FSi16</b:Tag>
    <b:SourceType>Book</b:SourceType>
    <b:Guid>{7BBA385A-7BCD-4C18-840A-C66B599B9769}</b:Guid>
    <b:Author>
      <b:Author>
        <b:NameList>
          <b:Person>
            <b:Last>Simangungsong</b:Last>
            <b:First>F.</b:First>
          </b:Person>
        </b:NameList>
      </b:Author>
    </b:Author>
    <b:Title>METODOLOGI PENELITIAN PEMERINTAHAN</b:Title>
    <b:Year>2016</b:Year>
    <b:City>Bandung</b:City>
    <b:Publisher>Alfabeta</b:Publisher>
    <b:RefOrder>170</b:RefOrder>
  </b:Source>
  <b:Source>
    <b:Tag>Sug07</b:Tag>
    <b:SourceType>Book</b:SourceType>
    <b:Guid>{0751C017-1CB9-4467-9AE0-594E70747E6C}</b:Guid>
    <b:Author>
      <b:Author>
        <b:NameList>
          <b:Person>
            <b:Last>Sugiyono</b:Last>
          </b:Person>
        </b:NameList>
      </b:Author>
    </b:Author>
    <b:Title>METODOLOGI PENELITIAN PENDIDIKAN PENDEKATAN KUANTITATIF, KUALITATIF DAN R &amp; D</b:Title>
    <b:Year>2007</b:Year>
    <b:City>Bandung</b:City>
    <b:Publisher>Alfabeta</b:Publisher>
    <b:RefOrder>171</b:RefOrder>
  </b:Source>
  <b:Source>
    <b:Tag>Sah14</b:Tag>
    <b:SourceType>Book</b:SourceType>
    <b:Guid>{F3264620-B40B-47CD-8D93-04CCBC99C67B}</b:Guid>
    <b:Title>Kebijakan Publik Cetakan Ke-2</b:Title>
    <b:Year>2014</b:Year>
    <b:Author>
      <b:Author>
        <b:NameList>
          <b:Person>
            <b:Last>Anggara</b:Last>
            <b:First>Sahya</b:First>
          </b:Person>
        </b:NameList>
      </b:Author>
    </b:Author>
    <b:City>Bandung</b:City>
    <b:Publisher>Pustaka Setia Bandung</b:Publisher>
    <b:RefOrder>172</b:RefOrder>
  </b:Source>
  <b:Source>
    <b:Tag>Sol08</b:Tag>
    <b:SourceType>Book</b:SourceType>
    <b:Guid>{FA740F6A-5358-45BE-9133-04DAB5C10B81}</b:Guid>
    <b:Author>
      <b:Author>
        <b:NameList>
          <b:Person>
            <b:Last>Wahab</b:Last>
            <b:First>Solichin</b:First>
            <b:Middle>A. W.</b:Middle>
          </b:Person>
        </b:NameList>
      </b:Author>
    </b:Author>
    <b:Title>Analisi Kebijaksanaan dari Formulasi ke Implementasi kebijaksanaan Negara</b:Title>
    <b:Year>2008</b:Year>
    <b:City>Jakarta</b:City>
    <b:Publisher>PT Bumi Aksara</b:Publisher>
    <b:RefOrder>173</b:RefOrder>
  </b:Source>
  <b:Source>
    <b:Tag>Yoh18</b:Tag>
    <b:SourceType>JournalArticle</b:SourceType>
    <b:Guid>{CDB9F315-0A01-4441-9C15-E5FA91212886}</b:Guid>
    <b:Title>KOMUNIKASI PEMERINTAHAN ANTAR PERANGKAT DAERAHDI PROVINSI NUSA TENGGARA TIMUR (NTT)</b:Title>
    <b:Year>2018</b:Year>
    <b:Author>
      <b:Author>
        <b:NameList>
          <b:Person>
            <b:Last>Buluamang</b:Last>
            <b:First>Yohanes</b:First>
            <b:Middle>Museng Ola</b:Middle>
          </b:Person>
          <b:Person>
            <b:Last>Handika</b:Last>
            <b:First>Leope</b:First>
            <b:Middle>Pinnega</b:Middle>
          </b:Person>
        </b:NameList>
      </b:Author>
    </b:Author>
    <b:JournalName>Jurnal Penelitian Komunikasi</b:JournalName>
    <b:Pages>57-72</b:Pages>
    <b:RefOrder>174</b:RefOrder>
  </b:Source>
  <b:Source>
    <b:Tag>Bok13</b:Tag>
    <b:SourceType>JournalArticle</b:SourceType>
    <b:Guid>{A18BB3CB-72DD-49A6-A278-E5081FCB8807}</b:Guid>
    <b:Author>
      <b:Author>
        <b:NameList>
          <b:Person>
            <b:Last>Bokau</b:Last>
          </b:Person>
        </b:NameList>
      </b:Author>
    </b:Author>
    <b:Title>Peran Komunikasi pemerintahan dalam Meningkatkan Pembangunan di Desa Boyong Atas (Suatu Studi Peranan Kepala Desa)</b:Title>
    <b:JournalName>Jurnal Acta Diurna</b:JournalName>
    <b:Year>2013</b:Year>
    <b:Pages>1-14</b:Pages>
    <b:RefOrder>175</b:RefOrder>
  </b:Source>
  <b:Source>
    <b:Tag>DIr11</b:Tag>
    <b:SourceType>Report</b:SourceType>
    <b:Guid>{20AF94DC-A437-47DE-8BBD-B6F906B2C287}</b:Guid>
    <b:Title>Pengaruh Penerapan Sistem Pengendalian Intern Pemerintah, Kompetensi Sumber Daya Manusia dan Penerapan Standar Akuntansi Pemerintahan terhadap  kualitas laporan keuangan pemerintah Provinsi Sumatera Barat</b:Title>
    <b:Year>2011</b:Year>
    <b:Author>
      <b:Author>
        <b:NameList>
          <b:Person>
            <b:Last>Irwan</b:Last>
            <b:First>D.</b:First>
          </b:Person>
        </b:NameList>
      </b:Author>
    </b:Author>
    <b:Publisher>Gadjahmada</b:Publisher>
    <b:City>Yogyakarta</b:City>
    <b:RefOrder>176</b:RefOrder>
  </b:Source>
  <b:Source>
    <b:Tag>ASR03</b:Tag>
    <b:SourceType>Book</b:SourceType>
    <b:Guid>{CD18DE81-C220-4604-8628-4C3BB3560761}</b:Guid>
    <b:Title>Sumber Daya Berkualitas – Mengubah Visi menjadi realitas</b:Title>
    <b:Year>2003</b:Year>
    <b:Publisher>Gramedia</b:Publisher>
    <b:City>Jakarta</b:City>
    <b:Author>
      <b:Author>
        <b:NameList>
          <b:Person>
            <b:Last>Ruky</b:Last>
            <b:First>A.S.</b:First>
          </b:Person>
        </b:NameList>
      </b:Author>
    </b:Author>
    <b:RefOrder>177</b:RefOrder>
  </b:Source>
  <b:Source>
    <b:Tag>Asn10</b:Tag>
    <b:SourceType>JournalArticle</b:SourceType>
    <b:Guid>{01A818CD-56B7-441E-8680-7C82B15340F9}</b:Guid>
    <b:Title>IMPLEMENTASI KEBIJAKAN PROGRAM PENANGGULANGAN KEMISKINAN PERKOTAAN (P2KP) DI KOTA GORONTALO</b:Title>
    <b:Year>2010</b:Year>
    <b:Author>
      <b:Author>
        <b:NameList>
          <b:Person>
            <b:Last>Aneta</b:Last>
            <b:First>Asna</b:First>
          </b:Person>
        </b:NameList>
      </b:Author>
    </b:Author>
    <b:JournalName>Jurnal Administrasi Publik</b:JournalName>
    <b:Pages>54-65</b:Pages>
    <b:RefOrder>178</b:RefOrder>
  </b:Source>
  <b:Source>
    <b:Tag>Abd13</b:Tag>
    <b:SourceType>JournalArticle</b:SourceType>
    <b:Guid>{990904F4-16DF-4E38-869E-8CCB425DDC4B}</b:Guid>
    <b:Author>
      <b:Author>
        <b:NameList>
          <b:Person>
            <b:Last>Rivai</b:Last>
            <b:First>Abdul</b:First>
          </b:Person>
        </b:NameList>
      </b:Author>
    </b:Author>
    <b:Title>Budaya Kerja Birokrasi Pemerintah dalam Pelayanan Publik</b:Title>
    <b:JournalName>Jurnal Academica Fisip Untad</b:JournalName>
    <b:Year>2013</b:Year>
    <b:Pages>949-956</b:Pages>
    <b:RefOrder>179</b:RefOrder>
  </b:Source>
  <b:Source>
    <b:Tag>IDS14</b:Tag>
    <b:SourceType>ArticleInAPeriodical</b:SourceType>
    <b:Guid>{4BFBCF8C-4446-4D70-8033-99F7AA6DE536}</b:Guid>
    <b:Title>Does Economic Growth Really Benefit the Poor? Income Distribution Dynamics and Pro-Poor Growth in Indonesia</b:Title>
    <b:Year>2014</b:Year>
    <b:Author>
      <b:Author>
        <b:NameList>
          <b:Person>
            <b:Last>Silvia</b:Last>
            <b:First>I.D.</b:First>
          </b:Person>
          <b:Person>
            <b:Last>Sumarto</b:Last>
          </b:Person>
        </b:NameList>
      </b:Author>
    </b:Author>
    <b:PeriodicalTitle>Bulletin of Indonesian Economic Studies</b:PeriodicalTitle>
    <b:Pages>227-242</b:Pages>
    <b:RefOrder>180</b:RefOrder>
  </b:Source>
  <b:Source>
    <b:Tag>Sul11</b:Tag>
    <b:SourceType>Report</b:SourceType>
    <b:Guid>{538EB36E-421D-4D66-8C6F-40E3769F90CE}</b:Guid>
    <b:Title>Dampak Investasi Sumberdaya Manusia Terhadap Perekonomian dan Kesejahteraan Masyarakat Di Jawa Tengah</b:Title>
    <b:Year>2011</b:Year>
    <b:City>Bogor</b:City>
    <b:Publisher>Institut Pertanian Bogor</b:Publisher>
    <b:Author>
      <b:Author>
        <b:NameList>
          <b:Person>
            <b:Last>Sulistyowati</b:Last>
            <b:First>N.</b:First>
          </b:Person>
        </b:NameList>
      </b:Author>
    </b:Author>
    <b:RefOrder>181</b:RefOrder>
  </b:Source>
  <b:Source>
    <b:Tag>Bad10</b:Tag>
    <b:SourceType>Report</b:SourceType>
    <b:Guid>{986C8E3A-312F-45EC-BE3A-3EF4CB248A4F}</b:Guid>
    <b:Author>
      <b:Author>
        <b:NameList>
          <b:Person>
            <b:Last>Statistik</b:Last>
            <b:First>Badan</b:First>
            <b:Middle>Pusat</b:Middle>
          </b:Person>
        </b:NameList>
      </b:Author>
    </b:Author>
    <b:Title>Indonesia Dalam Angka</b:Title>
    <b:Year>2010</b:Year>
    <b:Publisher>BPS</b:Publisher>
    <b:City>Jakarta</b:City>
    <b:RefOrder>182</b:RefOrder>
  </b:Source>
  <b:Source>
    <b:Tag>Ulb04</b:Tag>
    <b:SourceType>JournalArticle</b:SourceType>
    <b:Guid>{982F793C-A8F6-4EF9-8065-62C537294F77}</b:Guid>
    <b:Title>KOMUNIKASI PEMERINTAHAN : MENGIRIM DAN MENERIMA INFORMASI PUBLIK</b:Title>
    <b:Year>2004</b:Year>
    <b:Author>
      <b:Author>
        <b:NameList>
          <b:Person>
            <b:Last>Silalahi</b:Last>
            <b:First>Ulber</b:First>
          </b:Person>
        </b:NameList>
      </b:Author>
    </b:Author>
    <b:JournalName>Jurnal Administrasi Publik</b:JournalName>
    <b:Pages>36-54</b:Pages>
    <b:RefOrder>183</b:RefOrder>
  </b:Source>
  <b:Source>
    <b:Tag>Dar09</b:Tag>
    <b:SourceType>JournalArticle</b:SourceType>
    <b:Guid>{AC1B1F3D-2931-48AC-8850-E16CAE55A849}</b:Guid>
    <b:Author>
      <b:Author>
        <b:NameList>
          <b:Person>
            <b:Last>Darwanis</b:Last>
          </b:Person>
          <b:Person>
            <b:Last>Mahyani</b:Last>
            <b:First>Desi</b:First>
            <b:Middle>Dwi</b:Middle>
          </b:Person>
        </b:NameList>
      </b:Author>
    </b:Author>
    <b:Title>PENGARUH KAPASITAS SUMBERDAYA MANUSIA, PEMANFAATAN TEKNOLOGI INFORMASI DAN PENGENDALIAN INTERN AKUNTANSI TERHADAP KETERANDALAN PELAPORAN KEUANGAN PEMERINTAH DAERAH</b:Title>
    <b:JournalName>Jurnal Telaah dan Riset Akuntansi</b:JournalName>
    <b:Year>2009</b:Year>
    <b:Pages>133-151</b:Pages>
    <b:RefOrder>184</b:RefOrder>
  </b:Source>
  <b:Source>
    <b:Tag>Jan20</b:Tag>
    <b:SourceType>JournalArticle</b:SourceType>
    <b:Guid>{9B98C72A-5BC7-4BC8-B811-282974065CE9}</b:Guid>
    <b:Title>Efektivitas Komunikasi Pemerintahan dalam Pelayananan Publik pada Kantor Pertanahan Nasional Kota Kendari</b:Title>
    <b:Year>2020</b:Year>
    <b:JournalName>Neo Respublica : Jurnal Ilmu Pemerintahan</b:JournalName>
    <b:Pages>86-101</b:Pages>
    <b:Author>
      <b:Author>
        <b:NameList>
          <b:Person>
            <b:Last>Jannah</b:Last>
            <b:First>Miftahul</b:First>
          </b:Person>
          <b:Person>
            <b:Last>Tarifu</b:Last>
            <b:First>La</b:First>
          </b:Person>
          <b:Person>
            <b:Last>Saidin</b:Last>
            <b:First>Saidin</b:First>
          </b:Person>
        </b:NameList>
      </b:Author>
    </b:Author>
    <b:RefOrder>185</b:RefOrder>
  </b:Source>
  <b:Source>
    <b:Tag>Irm17</b:Tag>
    <b:SourceType>JournalArticle</b:SourceType>
    <b:Guid>{C984AB64-F36A-4488-BEA4-A8F0152D68A5}</b:Guid>
    <b:Author>
      <b:Author>
        <b:NameList>
          <b:Person>
            <b:Last>Setianingsih</b:Last>
            <b:First>Irma</b:First>
          </b:Person>
        </b:NameList>
      </b:Author>
    </b:Author>
    <b:Title>Kontribusi Dana Desa dalam Menurunkan Angka Kemiskinan di Kabupaten Melawi</b:Title>
    <b:JournalName>Jurnal Ekonomi Daerah</b:JournalName>
    <b:Year>2017</b:Year>
    <b:Pages>1-18</b:Pages>
    <b:RefOrder>186</b:RefOrder>
  </b:Source>
  <b:Source>
    <b:Tag>GAY17</b:Tag>
    <b:SourceType>JournalArticle</b:SourceType>
    <b:Guid>{C4DCE890-2EF5-42CF-AA74-19B7B94CA6A0}</b:Guid>
    <b:Title>GAYA KEPEMIMPINAN PARTISIPATIF DAN BUDAYA ORGANISASI BIROKRATIS DALAM MENINGKATKAN KINERJA PEGAWAI PADA BADAN PENGELOLAAN LINGKUNGAN HIDUP (BPLH) KABUPATEN MAJALENGKA</b:Title>
    <b:JournalName>MAKSI: Jurnal Ilmiah Ilmu Manajemen dan Akuntansi</b:JournalName>
    <b:Year>2017</b:Year>
    <b:Pages>25-35</b:Pages>
    <b:Author>
      <b:Author>
        <b:NameList>
          <b:Person>
            <b:Last>Sudirno</b:Last>
            <b:First>Dadang</b:First>
          </b:Person>
          <b:Person>
            <b:Last>Utama</b:Last>
            <b:First>Muhamad Sukma</b:First>
          </b:Person>
        </b:NameList>
      </b:Author>
    </b:Author>
    <b:RefOrder>187</b:RefOrder>
  </b:Source>
  <b:Source>
    <b:Tag>Sim18</b:Tag>
    <b:SourceType>JournalArticle</b:SourceType>
    <b:Guid>{2DED364E-EE6A-42D7-911C-1B558527C577}</b:Guid>
    <b:Title>PROGRAM IMPLEMENTATION OF E-GOVERNMENT-BASED VILLAGE ADMINISTRATION AND INFORMATION SYSTEM IN WEST SUMBA REGENCY</b:Title>
    <b:JournalName>Asian Journal of Management Sciences &amp; Education</b:JournalName>
    <b:Year>2018</b:Year>
    <b:Pages>71-82</b:Pages>
    <b:Author>
      <b:Author>
        <b:NameList>
          <b:Person>
            <b:Last>Simangunsong</b:Last>
            <b:First>Fernandes</b:First>
          </b:Person>
          <b:Person>
            <b:Last>Djaga</b:Last>
            <b:First>Aris Ratu</b:First>
          </b:Person>
        </b:NameList>
      </b:Author>
    </b:Author>
    <b:RefOrder>188</b:RefOrder>
  </b:Source>
  <b:Source>
    <b:Tag>Geo80</b:Tag>
    <b:SourceType>Book</b:SourceType>
    <b:Guid>{1E780479-3226-4213-A2E9-058A0027FD39}</b:Guid>
    <b:Author>
      <b:Author>
        <b:NameList>
          <b:Person>
            <b:Last>Edward III</b:Last>
            <b:First>George C.</b:First>
          </b:Person>
        </b:NameList>
      </b:Author>
    </b:Author>
    <b:Title>Implementing Public Policy</b:Title>
    <b:Year>1980</b:Year>
    <b:City>Washington DC</b:City>
    <b:RefOrder>189</b:RefOrder>
  </b:Source>
  <b:Source>
    <b:Tag>Pri00</b:Tag>
    <b:SourceType>JournalArticle</b:SourceType>
    <b:Guid>{A15EBB82-86F1-4CE9-A07A-96957BEE12EB}</b:Guid>
    <b:Title>Urbanisasi dan Pengembangan Kota di Indonesia</b:Title>
    <b:Year>2000</b:Year>
    <b:Author>
      <b:Author>
        <b:NameList>
          <b:Person>
            <b:Last>Tjiptoherijanto</b:Last>
            <b:First>Prijono</b:First>
          </b:Person>
        </b:NameList>
      </b:Author>
    </b:Author>
    <b:JournalName>Populasi</b:JournalName>
    <b:Pages>58-72</b:Pages>
    <b:RefOrder>190</b:RefOrder>
  </b:Source>
  <b:Source>
    <b:Tag>Yad20</b:Tag>
    <b:SourceType>JournalArticle</b:SourceType>
    <b:Guid>{FD17FB91-EABB-492B-BE99-D34AE4F3DFE0}</b:Guid>
    <b:Author>
      <b:Author>
        <b:NameList>
          <b:Person>
            <b:Last>Gratia</b:Last>
            <b:First>Yada</b:First>
            <b:Middle>Putra</b:Middle>
          </b:Person>
          <b:Person>
            <b:Last>Benyamin</b:Last>
            <b:First>Priskila</b:First>
            <b:Middle>Issak</b:Middle>
          </b:Person>
          <b:Person>
            <b:Last>Sumarno</b:Last>
            <b:First>Yuel</b:First>
          </b:Person>
          <b:Person>
            <b:Last>Wariki</b:Last>
            <b:First>Valentino</b:First>
          </b:Person>
        </b:NameList>
      </b:Author>
    </b:Author>
    <b:Title>Pengembangan Model Pendidikan Agama Kristen Bagi Anak Korban Kemiskinan</b:Title>
    <b:Year>2020</b:Year>
    <b:Pages>1-11</b:Pages>
    <b:RefOrder>191</b:RefOrder>
  </b:Source>
  <b:Source>
    <b:Tag>Agu06</b:Tag>
    <b:SourceType>Book</b:SourceType>
    <b:Guid>{AD52BC95-F3AC-4785-95DF-63CC8C28B217}</b:Guid>
    <b:Title>Dasar-Dasar Kebijakan Publik</b:Title>
    <b:Year>2008</b:Year>
    <b:Author>
      <b:Author>
        <b:NameList>
          <b:Person>
            <b:Last>Agustino</b:Last>
            <b:First>Leo</b:First>
          </b:Person>
        </b:NameList>
      </b:Author>
    </b:Author>
    <b:City>Bandung</b:City>
    <b:Publisher>CV. Alfabet</b:Publisher>
    <b:RefOrder>192</b:RefOrder>
  </b:Source>
  <b:Source>
    <b:Tag>Mar13</b:Tag>
    <b:SourceType>Report</b:SourceType>
    <b:Guid>{1CAA8F56-3923-49C9-9305-1A03A96CF5CB}</b:Guid>
    <b:Title>INDEPENDENT MID-TERM EVALUATION REPORT: Project Childhood: Child Sexual Exploitation in Travel and Tourism (CSETT), Mekong Sub-Region</b:Title>
    <b:Year>2013</b:Year>
    <b:Author>
      <b:Author>
        <b:NameList>
          <b:Person>
            <b:Last>Nicolls</b:Last>
            <b:First>Martina</b:First>
          </b:Person>
          <b:Person>
            <b:Last>Casey</b:Last>
            <b:First>Shelley</b:First>
          </b:Person>
        </b:NameList>
      </b:Author>
    </b:Author>
    <b:Publisher>GRM International</b:Publisher>
    <b:RefOrder>1</b:RefOrder>
  </b:Source>
  <b:Source>
    <b:Tag>Wor12</b:Tag>
    <b:SourceType>Report</b:SourceType>
    <b:Guid>{71A352C7-DBDC-4851-BDFE-4C176E881520}</b:Guid>
    <b:Author>
      <b:Author>
        <b:NameList>
          <b:Person>
            <b:Last>A</b:Last>
            <b:First>Matthews</b:First>
          </b:Person>
        </b:NameList>
      </b:Author>
    </b:Author>
    <b:Title>Child Safe Tourism: The Tourist Perspective</b:Title>
    <b:Year>2012</b:Year>
    <b:Publisher>World Vision Australia</b:Publisher>
    <b:RefOrder>2</b:RefOrder>
  </b:Source>
  <b:Source>
    <b:Tag>Ian17</b:Tag>
    <b:SourceType>JournalArticle</b:SourceType>
    <b:Guid>{9C9CD988-551B-41FB-97D1-CE68C5EF197F}</b:Guid>
    <b:Author>
      <b:Author>
        <b:NameList>
          <b:Person>
            <b:Last>Voelkel</b:Last>
            <b:First>Ian</b:First>
          </b:Person>
        </b:NameList>
      </b:Author>
    </b:Author>
    <b:Title>Child Sex Tourism and the Lack of Deterrence that Drives the Problem</b:Title>
    <b:JournalName>All Regis University Theses</b:JournalName>
    <b:Year>2017</b:Year>
    <b:Pages>844</b:Pages>
    <b:RefOrder>3</b:RefOrder>
  </b:Source>
  <b:Source>
    <b:Tag>Mek15</b:Tag>
    <b:SourceType>JournalArticle</b:SourceType>
    <b:Guid>{80287206-AD7C-42FC-8326-F54D8668BE80}</b:Guid>
    <b:Author>
      <b:Author>
        <b:NameList>
          <b:Person>
            <b:Last>Mekinc</b:Last>
            <b:First>J.</b:First>
          </b:Person>
          <b:Person>
            <b:Last>Music</b:Last>
            <b:First>K.</b:First>
          </b:Person>
        </b:NameList>
      </b:Author>
    </b:Author>
    <b:Title>SEXUAL EXPLOITATION OF CHILDREN IN THE TOURISM – THE DARK SIDE OF TOURISM</b:Title>
    <b:JournalName>Innovative Issues and Approaches in Social Sciences, 8(2), 64–85</b:JournalName>
    <b:Year>2015</b:Year>
    <b:RefOrder>4</b:RefOrder>
  </b:Source>
  <b:Source>
    <b:Tag>UNO13</b:Tag>
    <b:SourceType>InternetSite</b:SourceType>
    <b:Guid>{67614E82-7A15-42FA-8551-9A137E0AF8A6}</b:Guid>
    <b:Title>Better regional coordination needed to fight online sexual abuse of children in the Greater Mekong Sub-Region</b:Title>
    <b:Year>2013</b:Year>
    <b:Author>
      <b:Author>
        <b:Corporate>UNODC</b:Corporate>
      </b:Author>
    </b:Author>
    <b:InternetSiteTitle>UNODC</b:InternetSiteTitle>
    <b:Month>June</b:Month>
    <b:Day>21</b:Day>
    <b:URL>https://www.unodc.org/southeastasiaandpacific/en/laopdr/2013/06/project-childhood/story.html</b:URL>
    <b:RefOrder>5</b:RefOrder>
  </b:Source>
  <b:Source>
    <b:Tag>Bab11</b:Tag>
    <b:SourceType>JournalArticle</b:SourceType>
    <b:Guid>{63F6C4E5-3BFA-4D92-8D67-F2F5D0E6E661}</b:Guid>
    <b:Author>
      <b:Author>
        <b:NameList>
          <b:Person>
            <b:Last>George</b:Last>
            <b:First>Babu</b:First>
            <b:Middle>P.</b:Middle>
          </b:Person>
          <b:Person>
            <b:Last>Panko</b:Last>
            <b:First>Thomas</b:First>
            <b:Middle>R.</b:Middle>
          </b:Person>
        </b:NameList>
      </b:Author>
    </b:Author>
    <b:Title>Child sex tourism: Facilitating conditions, legal remedies, and other interventions</b:Title>
    <b:JournalName>Vulnerable Children and Youth Studies: An International Interdisciplinary Journal for Research, Policy and Care</b:JournalName>
    <b:Year>2011</b:Year>
    <b:RefOrder>6</b:RefOrder>
  </b:Source>
  <b:Source>
    <b:Tag>Dea14</b:Tag>
    <b:SourceType>JournalArticle</b:SourceType>
    <b:Guid>{A248A1FD-4A9C-4D5E-BB9C-685FFD491AA2}</b:Guid>
    <b:Author>
      <b:Author>
        <b:NameList>
          <b:Person>
            <b:Last>Davy</b:Last>
            <b:First>Deanna</b:First>
          </b:Person>
        </b:NameList>
      </b:Author>
    </b:Author>
    <b:Title>Understanding the complexities of responding to child sex trafficking in Thailand and Cambodia</b:Title>
    <b:JournalName> International Journal of Sociology and Social Policy,</b:JournalName>
    <b:Year>2014</b:Year>
    <b:RefOrder>7</b:RefOrder>
  </b:Source>
  <b:Source>
    <b:Tag>Kon22</b:Tag>
    <b:SourceType>JournalArticle</b:SourceType>
    <b:Guid>{E8CD97CE-B8FA-4BE9-99AC-26F2F79E85A1}</b:Guid>
    <b:Author>
      <b:Author>
        <b:NameList>
          <b:Person>
            <b:Last>Koning</b:Last>
            <b:First>Anneke</b:First>
          </b:Person>
          <b:Person>
            <b:Last>Wilsem</b:Last>
            <b:First>Johan</b:First>
            <b:Middle>Van</b:Middle>
          </b:Person>
        </b:NameList>
      </b:Author>
    </b:Author>
    <b:Title>The Context of Sexual Exploitation of Children by Tourists and Travelers: A Cross-National Comparison of Destination Countries and Non-Destination Countries</b:Title>
    <b:Year>2022</b:Year>
    <b:Publisher>International Criminal Justice Review</b:Publisher>
    <b:JournalName>International Criminal Justice Review</b:JournalName>
    <b:RefOrder>8</b:RefOrder>
  </b:Source>
  <b:Source>
    <b:Tag>Mel14</b:Tag>
    <b:SourceType>JournalArticle</b:SourceType>
    <b:Guid>{8650D692-AE93-4A92-8364-DA83D01CE663}</b:Guid>
    <b:Author>
      <b:Author>
        <b:NameList>
          <b:Person>
            <b:Last>Curley</b:Last>
            <b:First>Melissa</b:First>
          </b:Person>
        </b:NameList>
      </b:Author>
    </b:Author>
    <b:Title>Combating Child Sex Tourism in South-east Asia: Law Enforcement Cooperation and Civil Society Partnerships</b:Title>
    <b:JournalName>Journal Of law and Society</b:JournalName>
    <b:Year>2014</b:Year>
    <b:RefOrder>9</b:RefOrder>
  </b:Source>
  <b:Source>
    <b:Tag>Jam12</b:Tag>
    <b:SourceType>JournalArticle</b:SourceType>
    <b:Guid>{470265DD-9C29-4E24-A4E9-C0B5B0F14FCA}</b:Guid>
    <b:Author>
      <b:Author>
        <b:NameList>
          <b:Person>
            <b:Last>McNicol</b:Last>
            <b:First>James</b:First>
          </b:Person>
          <b:Person>
            <b:Last>Schloenhardt.</b:Last>
            <b:First>Andreas</b:First>
          </b:Person>
        </b:NameList>
      </b:Author>
    </b:Author>
    <b:Title>Australia’s Child Sex Tourism Offences </b:Title>
    <b:JournalName>Current Issues In Criminal Justice Volume 23 (3)</b:JournalName>
    <b:Year>2012</b:Year>
    <b:Pages>369-392</b:Pages>
    <b:RefOrder>10</b:RefOrder>
  </b:Source>
  <b:Source>
    <b:Tag>Val05</b:Tag>
    <b:SourceType>Book</b:SourceType>
    <b:Guid>{2609B0A0-624E-47CB-B374-612FB85C5FAB}</b:Guid>
    <b:Title>Foreign Policy Analysis  and the Ground of International Relations</b:Title>
    <b:Year>2020</b:Year>
    <b:Author>
      <b:Author>
        <b:NameList>
          <b:Person>
            <b:Last>Hudson</b:Last>
            <b:First>Valerie</b:First>
            <b:Middle>M</b:Middle>
          </b:Person>
        </b:NameList>
      </b:Author>
    </b:Author>
    <b:JournalName>Foreign Policy Analysis </b:JournalName>
    <b:Publisher>Littlefield &amp; Rowman</b:Publisher>
    <b:RefOrder>11</b:RefOrder>
  </b:Source>
  <b:Source>
    <b:Tag>Cai17</b:Tag>
    <b:SourceType>JournalArticle</b:SourceType>
    <b:Guid>{68886C33-CCFB-4D7A-BE71-B0A59DF70700}</b:Guid>
    <b:Author>
      <b:Author>
        <b:NameList>
          <b:Person>
            <b:Last>Roberts</b:Last>
            <b:First>Cain</b:First>
            <b:Middle>Norman</b:Middle>
          </b:Person>
        </b:NameList>
      </b:Author>
    </b:Author>
    <b:Title>Domestic Policy Actors and Australian Foreign Policy A public policy approach to analysing the making of Australian foreign policy</b:Title>
    <b:JournalName>School of Social and Political Sciences The University of Melbourne</b:JournalName>
    <b:Year>2017</b:Year>
    <b:RefOrder>12</b:RefOrder>
  </b:Source>
  <b:Source>
    <b:Tag>Hos15</b:Tag>
    <b:SourceType>JournalArticle</b:SourceType>
    <b:Guid>{AC04316A-706F-4F75-AA6D-5F1A0CE16064}</b:Guid>
    <b:Title>Qualitative and descriptive research: Data type versus  data analysis</b:Title>
    <b:Year>2015</b:Year>
    <b:Author>
      <b:Author>
        <b:NameList>
          <b:Person>
            <b:Last>Nassaji</b:Last>
            <b:First>Hossein</b:First>
          </b:Person>
        </b:NameList>
      </b:Author>
    </b:Author>
    <b:JournalName>Language Teaching Research 19(2)</b:JournalName>
    <b:Pages>129-132</b:Pages>
    <b:RefOrder>13</b:RefOrder>
  </b:Source>
  <b:Source>
    <b:Tag>Dew11</b:Tag>
    <b:SourceType>JournalArticle</b:SourceType>
    <b:Guid>{4E24BDB6-5F68-4BD3-B997-8F6FFFFE88DE}</b:Guid>
    <b:Author>
      <b:Author>
        <b:NameList>
          <b:Person>
            <b:Last>Hossain</b:Last>
            <b:First>Dewan</b:First>
            <b:Middle>Mahboob</b:Middle>
          </b:Person>
        </b:NameList>
      </b:Author>
    </b:Author>
    <b:Title>Qualitative Research Process</b:Title>
    <b:JournalName>Postmodern Openings, Year 2, Vol. 7, September, pp: 143-156</b:JournalName>
    <b:Year>2011</b:Year>
    <b:RefOrder>14</b:RefOrder>
  </b:Source>
  <b:Source>
    <b:Tag>Kar16</b:Tag>
    <b:SourceType>JournalArticle</b:SourceType>
    <b:Guid>{266B9092-8B74-4D11-B83A-9D6129159BF1}</b:Guid>
    <b:Author>
      <b:Author>
        <b:NameList>
          <b:Person>
            <b:Last>Holt</b:Last>
            <b:First>Karen</b:First>
          </b:Person>
          <b:Person>
            <b:Last>Massey</b:Last>
            <b:First>Christina</b:First>
          </b:Person>
        </b:NameList>
      </b:Author>
    </b:Author>
    <b:Title>Sexual Preference or Opportunity: An Examination of Situational Factors by Gender of Victims of Clergy Abuse</b:Title>
    <b:JournalName>Sexual Abuse: Journal of Research and Treatment</b:JournalName>
    <b:Year>2016</b:Year>
    <b:RefOrder>15</b:RefOrder>
  </b:Source>
  <b:Source>
    <b:Tag>Mel19</b:Tag>
    <b:SourceType>JournalArticle</b:SourceType>
    <b:Guid>{A0BB14A0-FB32-4216-A1CE-95797042C7FE}</b:Guid>
    <b:Author>
      <b:Author>
        <b:NameList>
          <b:Person>
            <b:Last>Curley</b:Last>
            <b:First>Melissa</b:First>
          </b:Person>
        </b:NameList>
      </b:Author>
    </b:Author>
    <b:Title>Exporting Harmful People</b:Title>
    <b:JournalName>The State and Cosmopolitan Responsibilities</b:JournalName>
    <b:Year>2019</b:Year>
    <b:RefOrder>16</b:RefOrder>
  </b:Source>
  <b:Source>
    <b:Tag>Haw16</b:Tag>
    <b:SourceType>InternetSite</b:SourceType>
    <b:Guid>{A3C7507C-77F7-4FC2-8C96-508D19C20651}</b:Guid>
    <b:Author>
      <b:Author>
        <b:NameList>
          <b:Person>
            <b:Last>Hawke</b:Last>
            <b:First>A.</b:First>
          </b:Person>
          <b:Person>
            <b:Last>Raphael</b:Last>
            <b:First>A.</b:First>
          </b:Person>
        </b:NameList>
      </b:Author>
    </b:Author>
    <b:Title>. Offenders on the move: Global Study on sexual exploitation of children in travel and tourism</b:Title>
    <b:Year>2016</b:Year>
    <b:InternetSiteTitle>https://ecpat.org/wp-content/uploads/2021/08/Global-Report-Offenders-on-the-Move.pdf</b:InternetSiteTitle>
    <b:RefOrder>17</b:RefOrder>
  </b:Source>
  <b:Source>
    <b:Tag>Mah</b:Tag>
    <b:SourceType>InternetSite</b:SourceType>
    <b:Guid>{CD9423C1-CEBC-4F61-81E5-EE9706F7E1D7}</b:Guid>
    <b:Title>Child Sex Tourism: A Violation of Children’s Rights</b:Title>
    <b:Author>
      <b:Author>
        <b:NameList>
          <b:Person>
            <b:Last>Kosuri</b:Last>
            <b:First>Mahathi</b:First>
          </b:Person>
        </b:NameList>
      </b:Author>
    </b:Author>
    <b:InternetSiteTitle>APA</b:InternetSiteTitle>
    <b:URL>https://www.apa.org/international/united-nations/un-matters/kosuri-sex-tourism.pdf Accessed 07 June 2022</b:URL>
    <b:RefOrder>18</b:RefOrder>
  </b:Source>
  <b:Source>
    <b:Tag>Tempatpenampung1</b:Tag>
    <b:SourceType>JournalArticle</b:SourceType>
    <b:Guid>{1103F971-C9A7-4D39-B2F1-47C75CFF106B}</b:Guid>
    <b:Author>
      <b:Author>
        <b:NameList>
          <b:Person>
            <b:Last>Sofian</b:Last>
            <b:First>Ahmad</b:First>
          </b:Person>
        </b:NameList>
      </b:Author>
    </b:Author>
    <b:Title> Legal Aspect of Child sex Tourism in Southeast Asian Countries</b:Title>
    <b:JournalName>Sustainable Tourism and Law</b:JournalName>
    <b:Year>2014</b:Year>
    <b:RefOrder>19</b:RefOrder>
  </b:Source>
  <b:Source>
    <b:Tag>Res11</b:Tag>
    <b:SourceType>Report</b:SourceType>
    <b:Guid>{DDD85B4D-5021-40E9-9708-C8C207B6AF91}</b:Guid>
    <b:Title>Report On The Commercial Sexual Exploitation Of Children In Lao PDR</b:Title>
    <b:Year>2011</b:Year>
    <b:Author>
      <b:Author>
        <b:NameList>
          <b:Person>
            <b:Last>Crispin</b:Last>
          </b:Person>
          <b:Person>
            <b:Last>Thompstone</b:Last>
          </b:Person>
        </b:NameList>
      </b:Author>
    </b:Author>
    <b:RefOrder>20</b:RefOrder>
  </b:Source>
  <b:Source>
    <b:Tag>Fin15</b:Tag>
    <b:SourceType>JournalArticle</b:SourceType>
    <b:Guid>{4159DC7A-6141-4D0B-8943-1EA791C5FC59}</b:Guid>
    <b:Author>
      <b:Author>
        <b:NameList>
          <b:Person>
            <b:Last>Finkel</b:Last>
            <b:First>R.</b:First>
          </b:Person>
          <b:Person>
            <b:Last>Finkel</b:Last>
            <b:First>M.L</b:First>
          </b:Person>
        </b:NameList>
      </b:Author>
    </b:Author>
    <b:Title>The ‘dirty downside’ of global sporting events: focus on human trafficking for sexual exploitation</b:Title>
    <b:Year>2015</b:Year>
    <b:JournalName>Public Health, 129(1), 17–22</b:JournalName>
    <b:RefOrder>21</b:RefOrder>
  </b:Source>
  <b:Source>
    <b:Tag>Chr141</b:Tag>
    <b:SourceType>JournalArticle</b:SourceType>
    <b:Guid>{3861ECDC-9178-432B-A3B6-8D208D66132E}</b:Guid>
    <b:Author>
      <b:Author>
        <b:NameList>
          <b:Person>
            <b:Last>Selvarajah</b:Last>
            <b:First>Christopher</b:First>
          </b:Person>
        </b:NameList>
      </b:Author>
    </b:Author>
    <b:Title> Foreign Aid Imperatives In The Greater Mekong Subregion: Case Studies Of Australian, Japanese And Thai Aid Coordination </b:Title>
    <b:JournalName>Asia-Pacific Development Journal .Vol. 21(1)</b:JournalName>
    <b:Year>2014</b:Year>
    <b:RefOrder>22</b:RefOrder>
  </b:Source>
  <b:Source>
    <b:Tag>Raf13</b:Tag>
    <b:SourceType>JournalArticle</b:SourceType>
    <b:Guid>{769243E5-DC15-42D9-AE8F-8DFA70E6E9A6}</b:Guid>
    <b:Title>Child trafficking and commercial sexual exploitation: A review of promising prevention policies and programs</b:Title>
    <b:Year>2013</b:Year>
    <b:URL>doi:10.1111/ajop.12056 </b:URL>
    <b:Author>
      <b:Author>
        <b:NameList>
          <b:Person>
            <b:Last>Rafferty</b:Last>
            <b:First>Yvonne</b:First>
          </b:Person>
        </b:NameList>
      </b:Author>
    </b:Author>
    <b:JournalName>American Journal of Orthopsychiatry, 83(4), 559–575</b:JournalName>
    <b:RefOrder>23</b:RefOrder>
  </b:Source>
  <b:Source>
    <b:Tag>Chi13</b:Tag>
    <b:SourceType>InternetSite</b:SourceType>
    <b:Guid>{38409C34-E313-4123-92C8-7D9DDC339463}</b:Guid>
    <b:Title>Threat assessment of child sexual exploitation and abuse</b:Title>
    <b:Year>2013</b:Year>
    <b:Author>
      <b:Author>
        <b:Corporate>Child Exploitation and Online Protection Centre</b:Corporate>
      </b:Author>
    </b:Author>
    <b:URL>&lt;div class="csl-entry"&gt;Child Exploitation and Online Protection Centre. (2012). &lt;i&gt;Threat Assessment of Child Sexual Exploitation and Abuse&lt;/i&gt;. https://childhub.org/sites/default/files/library/attachments/1469_CEOPThreatA_2012_190612_web_original.pdf&lt;/di</b:URL>
    <b:RefOrder>24</b:RefOrder>
  </b:Source>
  <b:Source>
    <b:Tag>Chi14</b:Tag>
    <b:SourceType>InternetSite</b:SourceType>
    <b:Guid>{709FDB06-A5A0-4ECA-AFB5-7A992F9FE853}</b:Guid>
    <b:Title>Farewell from Project Childhood Prevention Pillar.</b:Title>
    <b:Year>2014</b:Year>
    <b:Author>
      <b:Author>
        <b:Corporate>Child Safe Tourism</b:Corporate>
      </b:Author>
    </b:Author>
    <b:Month>Juli</b:Month>
    <b:URL>http://childsafetourism.org/farewell-project-childhood-prevention-pillar/. (Diakses pada 08 Juni 2022</b:URL>
    <b:RefOrder>25</b:RefOrder>
  </b:Source>
  <b:Source>
    <b:Tag>UNO12</b:Tag>
    <b:SourceType>InternetSite</b:SourceType>
    <b:Guid>{2D2E9AC8-E8C4-487A-8D76-1D216B29B015}</b:Guid>
    <b:Author>
      <b:Author>
        <b:Corporate>UNODC Office for Southeast Asia and the Pasific</b:Corporate>
      </b:Author>
    </b:Author>
    <b:Title> Strengthening Thai Laws to Fight Travellers Who Sexually Abuse Children.</b:Title>
    <b:Year>2012</b:Year>
    <b:Month>March</b:Month>
    <b:URL>https://www.unodc.org/roseap//en/2012/03/childhood-workshop-thailand/story.html accessed 08 June 2022</b:URL>
    <b:RefOrder>26</b:RefOrder>
  </b:Source>
  <b:Source>
    <b:Tag>Dow18</b:Tag>
    <b:SourceType>InternetSite</b:SourceType>
    <b:Guid>{CDA31799-B7DD-4583-AA54-A806C9E79B67}</b:Guid>
    <b:Author>
      <b:Author>
        <b:Corporate>Down to Zero Alliance</b:Corporate>
      </b:Author>
    </b:Author>
    <b:Title>Annual Report 2018</b:Title>
    <b:Year>2018</b:Year>
    <b:URL>&lt;div class="csl-entry"&gt;Down to Zero Alliance. (n.d.). &lt;i&gt;Annual Report 2018&lt;/i&gt;. Retrieved June 14, 2022, from https://www.datocms-assets.com/22233/1590138755-downtozeroannualreport2018.pdf&lt;/div&gt;</b:URL>
    <b:RefOrder>27</b:RefOrder>
  </b:Source>
  <b:Source>
    <b:Tag>Aus15</b:Tag>
    <b:SourceType>JournalArticle</b:SourceType>
    <b:Guid>{D05DE205-F9FC-46D9-894F-2E5B0BD0C291}</b:Guid>
    <b:Title> Australian Travelling Child Sex Offender</b:Title>
    <b:Year>2015</b:Year>
    <b:Author>
      <b:Author>
        <b:Corporate>Australian Federal Police</b:Corporate>
      </b:Author>
    </b:Author>
    <b:JournalName>Expert Paper: Global Study Sexual Exploitation of Children in Travel and Tourism</b:JournalName>
    <b:RefOrder>28</b:RefOrder>
  </b:Source>
  <b:Source>
    <b:Tag>The17</b:Tag>
    <b:SourceType>DocumentFromInternetSite</b:SourceType>
    <b:Guid>{A1AF2A35-80DD-4520-900F-943982805A8F}</b:Guid>
    <b:Author>
      <b:Author>
        <b:Corporate>The Jakarta Post</b:Corporate>
      </b:Author>
    </b:Author>
    <b:Title>Asutralia Introduces Tough New Laws on Child Sex Tourism</b:Title>
    <b:Year>2017</b:Year>
    <b:URL>&lt;div class="csl-entry"&gt;The Jakarta Post. (2017). &lt;i&gt;Australia introduces tough new laws on child sex tourism &lt;/i&gt;. https://www.thejakartapost.com/news/2017/12/13/australia-introduces-tough-new-laws-on-child-sex-tourism.html&lt;/div&gt;</b:URL>
    <b:RefOrder>29</b:RefOrder>
  </b:Source>
  <b:Source>
    <b:Tag>Aus20</b:Tag>
    <b:SourceType>JournalArticle</b:SourceType>
    <b:Guid>{6D942244-8959-4FF8-9D8A-4A94B5FD72EE}</b:Guid>
    <b:Author>
      <b:Author>
        <b:Corporate>Australian Government</b:Corporate>
      </b:Author>
    </b:Author>
    <b:Title>Australians who view live streaming of child sexual abuse: An analysis of financial transactions</b:Title>
    <b:JournalName>Trends &amp; issuesin crime and criminal justice</b:JournalName>
    <b:Year>2020</b:Year>
    <b:RefOrder>30</b:RefOrder>
  </b:Source>
  <b:Source>
    <b:Tag>Rav</b:Tag>
    <b:SourceType>DocumentFromInternetSite</b:SourceType>
    <b:Guid>{99D118EE-2252-4FDB-8A76-D77F6C3C4786}</b:Guid>
    <b:Title>TREATING THE INTERNATIONAL CHILD SEX TOURISM INDUSTRY AS A CRIME AGAINST HUMANITY</b:Title>
    <b:Author>
      <b:Author>
        <b:NameList>
          <b:Person>
            <b:Last>Washington</b:Last>
            <b:First>Raven</b:First>
          </b:Person>
        </b:NameList>
      </b:Author>
    </b:Author>
    <b:InternetSiteTitle>SOUTHWESTERN JOURNAL OF INTERNATIONAL LAW</b:InternetSiteTitle>
    <b:URL>https://www.swlaw.edu/sites/default/files/2018-08/SWT206.pdf</b:URL>
    <b:Year>2018</b:Year>
    <b:RefOrder>31</b:RefOrder>
  </b:Source>
  <b:Source>
    <b:Tag>Aus</b:Tag>
    <b:SourceType>DocumentFromInternetSite</b:SourceType>
    <b:Guid>{DB00D8EF-4163-44D6-92CF-2214C05639D5}</b:Guid>
    <b:Author>
      <b:Author>
        <b:Corporate> Australian Government</b:Corporate>
      </b:Author>
    </b:Author>
    <b:Title>Stopping Child Sexual Exploitation</b:Title>
    <b:URL>&lt;div class="csl-entry"&gt;Australian Government. (2017). &lt;i&gt;STOPPING CHILD SEXUAL EXPLOITATION&lt;/i&gt;. https://www.homeaffairs.gov.au/criminal-justice/files/stopping-child-exploitation-brochure.pdf&lt;/div&gt;</b:URL>
    <b:RefOrder>32</b:RefOrder>
  </b:Source>
  <b:Source>
    <b:Tag>OHC</b:Tag>
    <b:SourceType>DocumentFromInternetSite</b:SourceType>
    <b:Guid>{AF08D03B-5DD1-4EE1-9821-104617843F39}</b:Guid>
    <b:Author>
      <b:Author>
        <b:Corporate>OHCHR</b:Corporate>
      </b:Author>
    </b:Author>
    <b:Title>HRC22 Side Event on Child Sex Tourism Presentation by Australian Deputy Permanent Representative Nicholas Purtell </b:Title>
    <b:URL>https://www.ohchr.org/sites/default/files/Documents/Issues/Childre</b:URL>
    <b:RefOrder>33</b:RefOrder>
  </b:Source>
  <b:Source>
    <b:Tag>Dai10</b:Tag>
    <b:SourceType>JournalArticle</b:SourceType>
    <b:Guid>{6BF614E1-D4E5-4510-A969-AC6B5B9B4FC9}</b:Guid>
    <b:Title>Extraterritoriality and the Sexual Conduct of Australians Overseas.</b:Title>
    <b:Year>2010</b:Year>
    <b:Author>
      <b:Author>
        <b:NameList>
          <b:Person>
            <b:Last>Ireland</b:Last>
            <b:First>Daielle</b:First>
          </b:Person>
          <b:Person>
            <b:Last>Piper</b:Last>
          </b:Person>
        </b:NameList>
      </b:Author>
    </b:Author>
    <b:JournalName>Bond Law Review Vol 22 (2)</b:JournalName>
    <b:RefOrder>34</b:RefOrder>
  </b:Source>
  <b:Source>
    <b:Tag>Mer10</b:Tag>
    <b:SourceType>InternetSite</b:SourceType>
    <b:Guid>{C65948FE-3024-413D-9D5E-E53B97E362E6}</b:Guid>
    <b:Author>
      <b:Author>
        <b:NameList>
          <b:Person>
            <b:Last>Mercer</b:Last>
            <b:First>Phil</b:First>
          </b:Person>
        </b:NameList>
      </b:Author>
    </b:Author>
    <b:Title>Australia in Sex Tourism Campaign.</b:Title>
    <b:Year>2010</b:Year>
    <b:InternetSiteTitle>BBC News</b:InternetSiteTitle>
    <b:Month>June</b:Month>
    <b:URL>https://www.bbc.com/news/10252165 accessed 10 June 2022</b:URL>
    <b:RefOrder>35</b:RefOrder>
  </b:Source>
  <b:Source>
    <b:Tag>Ann21</b:Tag>
    <b:SourceType>JournalArticle</b:SourceType>
    <b:Guid>{092E0488-9DA7-4E9E-91CC-B997B3E41ABC}</b:Guid>
    <b:Title>Public Perceptions of Child Sexual Exploitation Abroad: A Vignette Experiment on the Influence of Social Distance</b:Title>
    <b:Year>2021</b:Year>
    <b:Author>
      <b:Author>
        <b:NameList>
          <b:Person>
            <b:Last>Koning</b:Last>
            <b:First>Anneke</b:First>
          </b:Person>
        </b:NameList>
      </b:Author>
    </b:Author>
    <b:JournalName>Crime &amp; Delinquency</b:JournalName>
    <b:RefOrder>36</b:RefOrder>
  </b:Source>
  <b:Source>
    <b:Tag>Elo13</b:Tag>
    <b:SourceType>JournalArticle</b:SourceType>
    <b:Guid>{E7200037-4B04-45E1-A7EB-2849C5E1F885}</b:Guid>
    <b:Author>
      <b:Author>
        <b:NameList>
          <b:Person>
            <b:Last>Eloise M.Biggs</b:Last>
            <b:First>John</b:First>
            <b:Middle>M.A.Duncan, Peter M. Atkinson, Peter M. Atkinson</b:Middle>
          </b:Person>
        </b:NameList>
      </b:Author>
    </b:Author>
    <b:Title>Plenty of water, not enough strategy: How inadequate accessibility, poor governance and a volatile government can tip the balance against ensuring water security: The case of Nepal</b:Title>
    <b:JournalName>Environmental Science &amp; Policy</b:JournalName>
    <b:Year>2013</b:Year>
    <b:Pages>388-394</b:Pages>
    <b:RefOrder>1</b:RefOrder>
  </b:Source>
  <b:Source>
    <b:Tag>Kat13</b:Tag>
    <b:SourceType>JournalArticle</b:SourceType>
    <b:Guid>{564B012D-311B-4866-AD48-790236EFB076}</b:Guid>
    <b:Title>A review of progress in empowerment of women in rural water management decision-making processes</b:Title>
    <b:Year>2013</b:Year>
    <b:Author>
      <b:Author>
        <b:NameList>
          <b:Person>
            <b:Last>Kathleen Kevany</b:Last>
            <b:First>Donald</b:First>
            <b:Middle>Huisingh</b:Middle>
          </b:Person>
        </b:NameList>
      </b:Author>
    </b:Author>
    <b:JournalName>Journal of Cleaner Production</b:JournalName>
    <b:Pages>53-64</b:Pages>
    <b:RefOrder>2</b:RefOrder>
  </b:Source>
  <b:Source>
    <b:Tag>And07</b:Tag>
    <b:SourceType>JournalArticle</b:SourceType>
    <b:Guid>{C605AE85-47E7-4B89-81DC-4513EA6DDAFC}</b:Guid>
    <b:Author>
      <b:Author>
        <b:NameList>
          <b:Person>
            <b:Last>Andrea Moreas</b:Last>
            <b:First>Patricia</b:First>
            <b:Middle>E. Perkins</b:Middle>
          </b:Person>
        </b:NameList>
      </b:Author>
    </b:Author>
    <b:Title>Women, Equity and Participatory Water Management in Brazil</b:Title>
    <b:JournalName>International Feminist Journal of Politics</b:JournalName>
    <b:Year>2007</b:Year>
    <b:Pages>485-493</b:Pages>
    <b:RefOrder>3</b:RefOrder>
  </b:Source>
  <b:Source>
    <b:Tag>End07</b:Tag>
    <b:SourceType>Book</b:SourceType>
    <b:Guid>{A71F9D98-0222-405A-920F-9BD07B2ADF89}</b:Guid>
    <b:Author>
      <b:Author>
        <b:NameList>
          <b:Person>
            <b:Last>Endaryanta</b:Last>
            <b:First>Erwin</b:First>
          </b:Person>
        </b:NameList>
      </b:Author>
    </b:Author>
    <b:Title>Politik air di Indonesia : penjarahan Si Gedhang oleh korporasi Aqua-Danone</b:Title>
    <b:Year>2007</b:Year>
    <b:City>Yogyakarta</b:City>
    <b:Publisher>Laboratorium Jurusan Ilmu Pemerintahan FISIP Universitas Gadjah Mada</b:Publisher>
    <b:RefOrder>4</b:RefOrder>
  </b:Source>
  <b:Source>
    <b:Tag>sih18</b:Tag>
    <b:SourceType>InternetSite</b:SourceType>
    <b:Guid>{D16B182D-7812-4356-838B-0350BAC537C3}</b:Guid>
    <b:Title>Penuhi Cakupan Air Bersih, PDAM Lakukan Kerjasama Pihak Ketiga</b:Title>
    <b:Year>2018</b:Year>
    <b:Author>
      <b:Author>
        <b:NameList>
          <b:Person>
            <b:Last>sihotang</b:Last>
            <b:First>jonder</b:First>
          </b:Person>
        </b:NameList>
      </b:Author>
    </b:Author>
    <b:InternetSiteTitle>tirtabhagasasi.co.id</b:InternetSiteTitle>
    <b:URL>https://tirtabhagasasi.co.id/penuhi-cakupan-air-bersih-pdam-lakukan-kerjasama-pihak-ketiga/</b:URL>
    <b:RefOrder>5</b:RefOrder>
  </b:Source>
  <b:Source>
    <b:Tag>Dav01</b:Tag>
    <b:SourceType>JournalArticle</b:SourceType>
    <b:Guid>{B310994E-DCE4-427A-A8A7-D353F902A0CB}</b:Guid>
    <b:Title>The politics of water scarcity in the western states</b:Title>
    <b:Year>2001</b:Year>
    <b:Author>
      <b:Author>
        <b:NameList>
          <b:Person>
            <b:Last>Davis</b:Last>
            <b:First>Sandra</b:First>
            <b:Middle>K.</b:Middle>
          </b:Person>
        </b:NameList>
      </b:Author>
    </b:Author>
    <b:JournalName>The Social Science Journal</b:JournalName>
    <b:Pages>527-542</b:Pages>
    <b:RefOrder>6</b:RefOrder>
  </b:Source>
  <b:Source>
    <b:Tag>Mor22</b:Tag>
    <b:SourceType>Book</b:SourceType>
    <b:Guid>{0F716C0F-4E40-4E89-BB5E-A3F9780B31CC}</b:Guid>
    <b:Title>Clean Water Policy and State Choice Promise and Performance in The Water Quality Act</b:Title>
    <b:Year>2022</b:Year>
    <b:Author>
      <b:Author>
        <b:NameList>
          <b:Person>
            <b:Last>Morris</b:Last>
            <b:First>John</b:First>
            <b:Middle>C.</b:Middle>
          </b:Person>
        </b:NameList>
      </b:Author>
    </b:Author>
    <b:City>United Kingdom</b:City>
    <b:Publisher>Cambridge University Press</b:Publisher>
    <b:RefOrder>7</b:RefOrder>
  </b:Source>
  <b:Source>
    <b:Tag>Mic21</b:Tag>
    <b:SourceType>JournalArticle</b:SourceType>
    <b:Guid>{69F12799-E225-4ADF-83AE-42DE51227FA0}</b:Guid>
    <b:Author>
      <b:Author>
        <b:NameList>
          <b:Person>
            <b:Last>Michael Hellwiga</b:Last>
            <b:First>Andreas</b:First>
            <b:Middle>Polk</b:Middle>
          </b:Person>
        </b:NameList>
      </b:Author>
    </b:Author>
    <b:Title>Do political links influence water prices? Determinants of water prices</b:Title>
    <b:JournalName>Utilities Policy</b:JournalName>
    <b:Year>2021</b:Year>
    <b:Pages>1-13</b:Pages>
    <b:RefOrder>8</b:RefOrder>
  </b:Source>
  <b:Source>
    <b:Tag>DrD19</b:Tag>
    <b:SourceType>BookSection</b:SourceType>
    <b:Guid>{0578EF98-9A3F-4067-B192-305D2045DAA2}</b:Guid>
    <b:Author>
      <b:Author>
        <b:NameList>
          <b:Person>
            <b:Last>Dr. Drs. Imail Nurdin</b:Last>
            <b:First>M.Si</b:First>
          </b:Person>
        </b:NameList>
      </b:Author>
      <b:BookAuthor>
        <b:NameList>
          <b:Person>
            <b:Last>Dr. Drs. Imail Nurdin</b:Last>
            <b:First>M.Si</b:First>
          </b:Person>
        </b:NameList>
      </b:BookAuthor>
    </b:Author>
    <b:Title>Metode Penelitian Sosial</b:Title>
    <b:Year>2019</b:Year>
    <b:BookTitle>Metode Penelitian Sosial</b:BookTitle>
    <b:Pages>36</b:Pages>
    <b:City>Surabaya</b:City>
    <b:StateProvince>Jawa Timur</b:StateProvince>
    <b:CountryRegion>Indonesia</b:CountryRegion>
    <b:Publisher>Media Sahabat Cendekia</b:Publisher>
    <b:RefOrder>9</b:RefOrder>
  </b:Source>
  <b:Source>
    <b:Tag>Sug06</b:Tag>
    <b:SourceType>Book</b:SourceType>
    <b:Guid>{7AAAE2DD-D5DC-4731-9158-B90BC14C1BB0}</b:Guid>
    <b:Author>
      <b:Author>
        <b:NameList>
          <b:Person>
            <b:Last>Sugiyono</b:Last>
          </b:Person>
        </b:NameList>
      </b:Author>
    </b:Author>
    <b:Title>Metode Penelitian Kuantitatif, Kualitatif</b:Title>
    <b:Year>2006</b:Year>
    <b:City>Bandung</b:City>
    <b:Publisher>Alfabeta</b:Publisher>
    <b:RefOrder>10</b:RefOrder>
  </b:Source>
  <b:Source>
    <b:Tag>Lex14</b:Tag>
    <b:SourceType>Book</b:SourceType>
    <b:Guid>{40D69B99-D110-4467-8C8D-0C6CF048C88F}</b:Guid>
    <b:Title>Metodologi Penelitian Kualitatif [Edisi Revisi]</b:Title>
    <b:Year>2014</b:Year>
    <b:Author>
      <b:Author>
        <b:NameList>
          <b:Person>
            <b:Last>Moleong</b:Last>
            <b:First>Lexy</b:First>
            <b:Middle>J.</b:Middle>
          </b:Person>
        </b:NameList>
      </b:Author>
    </b:Author>
    <b:City>Jakarta</b:City>
    <b:Publisher>Remaja Rosdakarya E</b:Publisher>
    <b:RefOrder>11</b:RefOrder>
  </b:Source>
  <b:Source>
    <b:Tag>Sur22</b:Tag>
    <b:SourceType>Interview</b:SourceType>
    <b:Guid>{07C5246C-40BD-4E55-A624-F08BC8694227}</b:Guid>
    <b:Title>Interview With Interviewee</b:Title>
    <b:Year>2022</b:Year>
    <b:Author>
      <b:Interviewee>
        <b:NameList>
          <b:Person>
            <b:Last>Suryati</b:Last>
          </b:Person>
        </b:NameList>
      </b:Interviewee>
      <b:Interviewer>
        <b:NameList>
          <b:Person>
            <b:Last>Rahmawati</b:Last>
            <b:First>Restu</b:First>
          </b:Person>
        </b:NameList>
      </b:Interviewer>
    </b:Author>
    <b:Month>Januari</b:Month>
    <b:Day>Sunday</b:Day>
    <b:RefOrder>12</b:RefOrder>
  </b:Source>
  <b:Source>
    <b:Tag>Bas22</b:Tag>
    <b:SourceType>InternetSite</b:SourceType>
    <b:Guid>{32ACD9A2-004E-4813-A434-B0146D71865E}</b:Guid>
    <b:Author>
      <b:Author>
        <b:NameList>
          <b:Person>
            <b:Last>Baskoro</b:Last>
            <b:First>Rangga</b:First>
          </b:Person>
        </b:NameList>
      </b:Author>
    </b:Author>
    <b:Title>Krisis Air Bersih, Warga Kedungringin Bekasi Diserang Gatal-Gatal Konsumsi Air Sumur Tak Layak Pakai.</b:Title>
    <b:InternetSiteTitle>Warta Kota</b:InternetSiteTitle>
    <b:Year>2022</b:Year>
    <b:Month>Februari</b:Month>
    <b:Day>Monday</b:Day>
    <b:URL>https://wartakota.tribunnews.com/2021/09/21/krisis-air-bersih-warga-kedungringin-bekasi-diserang-gatal-gatal-konsumsi-air-sumur-tak-layak-pakai</b:URL>
    <b:RefOrder>13</b:RefOrder>
  </b:Source>
  <b:Source>
    <b:Tag>Daa16</b:Tag>
    <b:SourceType>JournalArticle</b:SourceType>
    <b:Guid>{534E291B-FFEE-4AD1-955C-C3A9C41FDAF8}</b:Guid>
    <b:Author>
      <b:Author>
        <b:NameList>
          <b:Person>
            <b:Last>Mustafa</b:Last>
            <b:First>Daanish</b:First>
          </b:Person>
        </b:NameList>
      </b:Author>
    </b:Author>
    <b:Title>Water User Associations and the Politics of Water in Jordan</b:Title>
    <b:JournalName>World Development</b:JournalName>
    <b:Year>2016</b:Year>
    <b:Pages>164-176</b:Pages>
    <b:RefOrder>14</b:RefOrder>
  </b:Source>
  <b:Source>
    <b:Tag>Bar09</b:Tag>
    <b:SourceType>JournalArticle</b:SourceType>
    <b:Guid>{D138A5F5-267B-43C9-86CF-6A75E5283D49}</b:Guid>
    <b:Author>
      <b:Author>
        <b:NameList>
          <b:Person>
            <b:Last>Barnes</b:Last>
            <b:First>Jessica</b:First>
          </b:Person>
        </b:NameList>
      </b:Author>
    </b:Author>
    <b:Title>Managing the Waters of Baՙth Country: The Politics of Water Scarcity in Syria</b:Title>
    <b:JournalName>Geopolitics</b:JournalName>
    <b:Year>2009</b:Year>
    <b:Pages>510-530</b:Pages>
    <b:RefOrder>15</b:RefOrder>
  </b:Source>
  <b:Source>
    <b:Tag>Mil18</b:Tag>
    <b:SourceType>JournalArticle</b:SourceType>
    <b:Guid>{01F3A837-FB42-4B16-A7CF-C8CEF42817D4}</b:Guid>
    <b:Author>
      <b:Author>
        <b:NameList>
          <b:Person>
            <b:Last>Millington</b:Last>
            <b:First>Nate</b:First>
          </b:Person>
        </b:NameList>
      </b:Author>
    </b:Author>
    <b:Title>Producing water scarcity in São Paulo, Brazil: The 2014-2015 water crisis and the binding politics of infrastructure</b:Title>
    <b:JournalName>Political Geography</b:JournalName>
    <b:Year>2018</b:Year>
    <b:Pages>26-34</b:Pages>
    <b:RefOrder>16</b:RefOrder>
  </b:Source>
  <b:Source>
    <b:Tag>Qin22</b:Tag>
    <b:SourceType>JournalArticle</b:SourceType>
    <b:Guid>{339E6AD3-33D2-46BD-AD6D-A9C77C7AE960}</b:Guid>
    <b:Title>Rural drinking water governance politics in China: Governmentality</b:Title>
    <b:Year>2022</b:Year>
    <b:Author>
      <b:Author>
        <b:NameList>
          <b:Person>
            <b:Last>Qinhong Xu</b:Last>
            <b:First>Rutgerd</b:First>
            <b:Middle>Boelens, Gert Jan Veldwisch</b:Middle>
          </b:Person>
        </b:NameList>
      </b:Author>
    </b:Author>
    <b:JournalName>Political Geography</b:JournalName>
    <b:Pages>1-10</b:Pages>
    <b:RefOrder>17</b:RefOrder>
  </b:Source>
  <b:Source>
    <b:Tag>Geo22</b:Tag>
    <b:SourceType>JournalArticle</b:SourceType>
    <b:Guid>{C2AE564B-047A-4FED-9FCD-24A9D79464FC}</b:Guid>
    <b:Author>
      <b:Author>
        <b:NameList>
          <b:Person>
            <b:Last>Geoff Goodwin</b:Last>
            <b:First>Patrick</b:First>
            <b:Middle>O'Hare</b:Middle>
          </b:Person>
        </b:NameList>
      </b:Author>
    </b:Author>
    <b:Title>The politics of coproduction during Latin America’s ‘Pink Tide’: Water, housing, and waste in comparative perspective</b:Title>
    <b:JournalName>World Development</b:JournalName>
    <b:Year>2022</b:Year>
    <b:Pages>1-14</b:Pages>
    <b:RefOrder>18</b:RefOrder>
  </b:Source>
  <b:Source>
    <b:Tag>Ter21</b:Tag>
    <b:SourceType>JournalArticle</b:SourceType>
    <b:Guid>{04761E9A-1AC0-40FE-A2BA-412F16934C14}</b:Guid>
    <b:Author>
      <b:Author>
        <b:NameList>
          <b:Person>
            <b:Last>Teresa Cristina TarléPissarra</b:Last>
            <b:First>Luís</b:First>
            <b:Middle>FilipeSanches Fernandes, Fernando António LealPacheco</b:Middle>
          </b:Person>
        </b:NameList>
      </b:Author>
    </b:Author>
    <b:Title>Production of clean water in agriculture headwater catchments: A model based on the payment for environmental services</b:Title>
    <b:JournalName>Science of The Total Environment</b:JournalName>
    <b:Year>2021</b:Year>
    <b:Pages>1-12</b:Pages>
    <b:RefOrder>19</b:RefOrder>
  </b:Source>
  <b:Source>
    <b:Tag>Pek21</b:Tag>
    <b:SourceType>JournalArticle</b:SourceType>
    <b:Guid>{DFC55FC3-8CCC-4315-BEBA-3A60C25BE341}</b:Guid>
    <b:Author>
      <b:Author>
        <b:NameList>
          <b:Person>
            <b:Last>PekkaLeviäkangas</b:Last>
          </b:Person>
        </b:NameList>
      </b:Author>
    </b:Author>
    <b:Title>Addressing sustainability or following political climate Rhetoric? Anatomy of government Agency’s performance management</b:Title>
    <b:JournalName>Case Studies on Transport Policy</b:JournalName>
    <b:Year>2021</b:Year>
    <b:Pages>191-199</b:Pages>
    <b:RefOrder>20</b:RefOrder>
  </b:Source>
  <b:Source>
    <b:Tag>Eko22</b:Tag>
    <b:SourceType>JournalArticle</b:SourceType>
    <b:Guid>{FD6831AF-3A37-40A2-A176-DC73FB4F04ED}</b:Guid>
    <b:Author>
      <b:Author>
        <b:NameList>
          <b:Person>
            <b:Last>Eko NurSurachman</b:Last>
            <b:First>Sevi</b:First>
            <b:Middle>Wening, Perwita sari, Maman Suhendra</b:Middle>
          </b:Person>
        </b:NameList>
      </b:Author>
    </b:Author>
    <b:Title>Stakeholder management mapping to improve public-private partnership success in emerging country water projects: Indonesia’s experience</b:Title>
    <b:JournalName>Utilities Policy</b:JournalName>
    <b:Year>2022</b:Year>
    <b:Pages>1-12</b:Pages>
    <b:RefOrder>21</b:RefOrder>
  </b:Source>
  <b:Source>
    <b:Tag>Rah17</b:Tag>
    <b:SourceType>JournalArticle</b:SourceType>
    <b:Guid>{96F10407-C5BC-4140-9936-66D3D6B7EF95}</b:Guid>
    <b:Author>
      <b:Author>
        <b:NameList>
          <b:Person>
            <b:Last>Rahmawati</b:Last>
            <b:First>Restu</b:First>
          </b:Person>
        </b:NameList>
      </b:Author>
    </b:Author>
    <b:Title>Analisis Impelementasi Kebijakan Aplikasi Qlue Di Wilayah Jakarta Utara</b:Title>
    <b:JournalName>ARISTO</b:JournalName>
    <b:Year>2017</b:Year>
    <b:Pages>386-404</b:Pages>
    <b:RefOrder>22</b:RefOrder>
  </b:Source>
  <b:Source>
    <b:Tag>Ric22</b:Tag>
    <b:SourceType>JournalArticle</b:SourceType>
    <b:Guid>{6ED6469C-30FA-4E9E-A445-223982C7E2D6}</b:Guid>
    <b:Author>
      <b:Author>
        <b:NameList>
          <b:Person>
            <b:Last>Richa Saxenaa</b:Last>
            <b:First>Nishtha</b:First>
            <b:Middle>Srivastavab, Sana Ansaria Pankaj</b:Middle>
          </b:Person>
        </b:NameList>
      </b:Author>
    </b:Author>
    <b:Title>The role of government in urban water management</b:Title>
    <b:JournalName>Current Directions in Water Scarcity Research</b:JournalName>
    <b:Year>2022</b:Year>
    <b:Pages>341-359</b:Pages>
    <b:RefOrder>23</b:RefOrder>
  </b:Source>
  <b:Source>
    <b:Tag>Mar22</b:Tag>
    <b:SourceType>JournalArticle</b:SourceType>
    <b:Guid>{ACE2FC74-F3DA-41B4-B033-471ECEFE0BC5}</b:Guid>
    <b:Author>
      <b:Author>
        <b:NameList>
          <b:Person>
            <b:Last>Leite</b:Last>
            <b:First>Maria</b:First>
            <b:Middle>Clara de Oliveira</b:Middle>
          </b:Person>
        </b:NameList>
      </b:Author>
    </b:Author>
    <b:Title>A comparison of Brazilian, North American, and English water supply regulation models</b:Title>
    <b:JournalName>Groundwater for Sustainable Development</b:JournalName>
    <b:Year>2022</b:Year>
    <b:Pages>1-13</b:Pages>
    <b:RefOrder>24</b:RefOrder>
  </b:Source>
  <b:Source>
    <b:Tag>Yuk15</b:Tag>
    <b:SourceType>JournalArticle</b:SourceType>
    <b:Guid>{45C26A40-F4AC-42BF-ADCE-AB6668AF6740}</b:Guid>
    <b:Author>
      <b:Author>
        <b:NameList>
          <b:Person>
            <b:Last>Yuksel</b:Last>
            <b:First>Ibrahim</b:First>
          </b:Person>
        </b:NameList>
      </b:Author>
    </b:Author>
    <b:Title>Water management for sustainable and clean energy in Turkey</b:Title>
    <b:JournalName>Energy Reports</b:JournalName>
    <b:Year>2015</b:Year>
    <b:Pages>129-133</b:Pages>
    <b:RefOrder>25</b:RefOrder>
  </b:Source>
  <b:Source>
    <b:Tag>Seh09</b:Tag>
    <b:SourceType>Book</b:SourceType>
    <b:Guid>{40901A70-F676-4805-BD9A-B3F7EBD1F378}</b:Guid>
    <b:Author>
      <b:Author>
        <b:NameList>
          <b:Person>
            <b:Last>Sehring</b:Last>
            <b:First>Jenniver</b:First>
          </b:Person>
        </b:NameList>
      </b:Author>
    </b:Author>
    <b:Title>Comparing the Politics of Water Institutional Reform. In: The Politics of Water Institutional Reform in Neopatrimonial States.</b:Title>
    <b:Year>2009</b:Year>
    <b:City>German</b:City>
    <b:Publisher>VS Verlag für Sozialwissenschaften</b:Publisher>
    <b:RefOrder>26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F43A0-6919-46E3-A6F9-FF5F19F99868}">
  <ds:schemaRefs/>
</ds:datastoreItem>
</file>

<file path=docProps/app.xml><?xml version="1.0" encoding="utf-8"?>
<Properties xmlns="http://schemas.openxmlformats.org/officeDocument/2006/extended-properties" xmlns:vt="http://schemas.openxmlformats.org/officeDocument/2006/docPropsVTypes">
  <Template>Normal</Template>
  <Pages>18</Pages>
  <Words>9739</Words>
  <Characters>55515</Characters>
  <Lines>462</Lines>
  <Paragraphs>130</Paragraphs>
  <TotalTime>16</TotalTime>
  <ScaleCrop>false</ScaleCrop>
  <LinksUpToDate>false</LinksUpToDate>
  <CharactersWithSpaces>65124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2024-05-22T08:12:00Z</dcterms:created>
  <dc:creator>latiphul</dc:creator>
  <cp:lastModifiedBy>shofff iiiaaa</cp:lastModifiedBy>
  <cp:lastPrinted>2022-01-06T18:20:00Z</cp:lastPrinted>
  <dcterms:modified xsi:type="dcterms:W3CDTF">2024-07-03T13:19:37Z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d5ff1accb742a81cc1e7fde4c3e9f4deef94374ee3a6ea3fcb2bbc99a577b743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http://www.zotero.org/styles/apa-annotated-bibliography</vt:lpwstr>
  </property>
  <property fmtid="{D5CDD505-2E9C-101B-9397-08002B2CF9AE}" pid="8" name="Mendeley Recent Style Name 2_1">
    <vt:lpwstr>American Psychological Association 7th edition (annotated bibliography)</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http://www.zotero.org/styles/turabian-fullnote-bibliography</vt:lpwstr>
  </property>
  <property fmtid="{D5CDD505-2E9C-101B-9397-08002B2CF9AE}" pid="18" name="Mendeley Recent Style Name 7_1">
    <vt:lpwstr>Turabian 8th edition (full note)</vt:lpwstr>
  </property>
  <property fmtid="{D5CDD505-2E9C-101B-9397-08002B2CF9AE}" pid="19" name="Mendeley Recent Style Id 8_1">
    <vt:lpwstr>http://www.zotero.org/styles/universitas-negeri-semarang-fakultas-matematika-dan-ilmu-pengetahuan-alam</vt:lpwstr>
  </property>
  <property fmtid="{D5CDD505-2E9C-101B-9397-08002B2CF9AE}" pid="20" name="Mendeley Recent Style Name 8_1">
    <vt:lpwstr>Universitas Negeri Semarang - Fakultas Matematika dan Ilmu Pengetahuan Alam (Bahasa Indonesia)</vt:lpwstr>
  </property>
  <property fmtid="{D5CDD505-2E9C-101B-9397-08002B2CF9AE}" pid="21" name="Mendeley Recent Style Id 9_1">
    <vt:lpwstr>http://www.zotero.org/styles/universitas-negeri-yogyakarta-program-pascasarjana</vt:lpwstr>
  </property>
  <property fmtid="{D5CDD505-2E9C-101B-9397-08002B2CF9AE}" pid="22" name="Mendeley Recent Style Name 9_1">
    <vt:lpwstr>Universitas Negeri Yogyakarta - Program Pascasarjana (Bahasa Indonesia)</vt:lpwstr>
  </property>
  <property fmtid="{D5CDD505-2E9C-101B-9397-08002B2CF9AE}" pid="23" name="Mendeley Citation Style_1">
    <vt:lpwstr>http://www.zotero.org/styles/universitas-negeri-yogyakarta-program-pascasarjana</vt:lpwstr>
  </property>
  <property fmtid="{D5CDD505-2E9C-101B-9397-08002B2CF9AE}" pid="24" name="KSOProductBuildVer">
    <vt:lpwstr>1033-12.2.0.17119</vt:lpwstr>
  </property>
  <property fmtid="{D5CDD505-2E9C-101B-9397-08002B2CF9AE}" pid="25" name="ICV">
    <vt:lpwstr>E159EC303F104A1688670E571F95373B_12</vt:lpwstr>
  </property>
</Properties>
</file>