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DF7E" w14:textId="77777777" w:rsidR="008B2319" w:rsidRPr="00D81F5F" w:rsidRDefault="00000000">
      <w:pPr>
        <w:tabs>
          <w:tab w:val="center" w:pos="6670"/>
          <w:tab w:val="center" w:pos="9027"/>
        </w:tabs>
        <w:spacing w:after="4" w:line="251" w:lineRule="auto"/>
        <w:ind w:left="-15" w:firstLine="0"/>
        <w:jc w:val="left"/>
      </w:pPr>
      <w:r w:rsidRPr="00D81F5F">
        <w:rPr>
          <w:color w:val="0070C0"/>
        </w:rPr>
        <w:t>Aristo Journal (Social, Politic, Humanities)</w:t>
      </w:r>
      <w:r w:rsidRPr="00D81F5F">
        <w:rPr>
          <w:color w:val="0070C0"/>
        </w:rPr>
        <w:tab/>
      </w:r>
      <w:r w:rsidRPr="00D81F5F">
        <w:rPr>
          <w:color w:val="0070C0"/>
        </w:rPr>
        <w:tab/>
      </w:r>
    </w:p>
    <w:p w14:paraId="6024A62F" w14:textId="77777777" w:rsidR="008B2319" w:rsidRPr="00D81F5F" w:rsidRDefault="00000000">
      <w:pPr>
        <w:spacing w:after="4" w:line="251" w:lineRule="auto"/>
        <w:ind w:left="-5" w:hanging="10"/>
        <w:jc w:val="left"/>
      </w:pPr>
      <w:r w:rsidRPr="00D81F5F">
        <w:rPr>
          <w:color w:val="0070C0"/>
        </w:rPr>
        <w:t xml:space="preserve">Social and Political Science Faculty, University of Muhammadiyah </w:t>
      </w:r>
      <w:proofErr w:type="spellStart"/>
      <w:r w:rsidRPr="00D81F5F">
        <w:rPr>
          <w:color w:val="0070C0"/>
        </w:rPr>
        <w:t>Ponorogo</w:t>
      </w:r>
      <w:proofErr w:type="spellEnd"/>
      <w:r w:rsidRPr="00D81F5F">
        <w:rPr>
          <w:color w:val="0070C0"/>
        </w:rPr>
        <w:t xml:space="preserve">. </w:t>
      </w:r>
      <w:r w:rsidRPr="00D81F5F">
        <w:rPr>
          <w:color w:val="0070C0"/>
        </w:rPr>
        <w:tab/>
      </w:r>
      <w:r w:rsidRPr="00D81F5F">
        <w:rPr>
          <w:b/>
        </w:rPr>
        <w:t xml:space="preserve"> 1 </w:t>
      </w:r>
      <w:r w:rsidRPr="00D81F5F">
        <w:rPr>
          <w:color w:val="0070C0"/>
        </w:rPr>
        <w:t xml:space="preserve">p-ISSN 2338-5162 / e-ISSN </w:t>
      </w:r>
      <w:hyperlink r:id="rId8"/>
    </w:p>
    <w:p w14:paraId="790848DD" w14:textId="77777777" w:rsidR="008B2319" w:rsidRPr="00D81F5F" w:rsidRDefault="008B2319">
      <w:pPr>
        <w:spacing w:after="31" w:line="259" w:lineRule="auto"/>
        <w:ind w:left="0" w:firstLine="0"/>
        <w:jc w:val="left"/>
      </w:pPr>
    </w:p>
    <w:p w14:paraId="29DB7C8B" w14:textId="60BC2924" w:rsidR="008B2319" w:rsidRPr="008D0DEC" w:rsidRDefault="00617AD3" w:rsidP="008D0DEC">
      <w:pPr>
        <w:spacing w:after="44" w:line="265" w:lineRule="auto"/>
        <w:ind w:left="10" w:hanging="10"/>
        <w:jc w:val="left"/>
        <w:rPr>
          <w:rFonts w:eastAsia="Calibri"/>
          <w:noProof/>
          <w:sz w:val="28"/>
          <w:szCs w:val="28"/>
        </w:rPr>
      </w:pPr>
      <w:r w:rsidRPr="00D81F5F">
        <w:rPr>
          <w:rFonts w:eastAsia="Calibri"/>
          <w:noProof/>
          <w:sz w:val="28"/>
          <w:szCs w:val="28"/>
        </w:rPr>
        <w:t>Trends and Challenges of Digital Transformation in the Public Sector: Policy Implications for Improving Public Services in Indonesia</w:t>
      </w:r>
      <w:r w:rsidR="00000000" w:rsidRPr="00D81F5F">
        <w:rPr>
          <w:rFonts w:eastAsia="Calibri"/>
          <w:noProof/>
          <w:sz w:val="22"/>
        </w:rPr>
        <mc:AlternateContent>
          <mc:Choice Requires="wpg">
            <w:drawing>
              <wp:inline distT="0" distB="0" distL="0" distR="0" wp14:anchorId="4AEED78D" wp14:editId="47D0067A">
                <wp:extent cx="5586045" cy="18288"/>
                <wp:effectExtent l="0" t="0" r="0" b="0"/>
                <wp:docPr id="8618" name="Group 8618"/>
                <wp:cNvGraphicFramePr/>
                <a:graphic xmlns:a="http://schemas.openxmlformats.org/drawingml/2006/main">
                  <a:graphicData uri="http://schemas.microsoft.com/office/word/2010/wordprocessingGroup">
                    <wpg:wgp>
                      <wpg:cNvGrpSpPr/>
                      <wpg:grpSpPr>
                        <a:xfrm>
                          <a:off x="0" y="0"/>
                          <a:ext cx="5586045" cy="18288"/>
                          <a:chOff x="0" y="0"/>
                          <a:chExt cx="5586045" cy="18288"/>
                        </a:xfrm>
                      </wpg:grpSpPr>
                      <wps:wsp>
                        <wps:cNvPr id="9206" name="Shape 9206"/>
                        <wps:cNvSpPr/>
                        <wps:spPr>
                          <a:xfrm>
                            <a:off x="0" y="0"/>
                            <a:ext cx="1478915" cy="18288"/>
                          </a:xfrm>
                          <a:custGeom>
                            <a:avLst/>
                            <a:gdLst/>
                            <a:ahLst/>
                            <a:cxnLst/>
                            <a:rect l="0" t="0" r="0" b="0"/>
                            <a:pathLst>
                              <a:path w="1478915" h="18288">
                                <a:moveTo>
                                  <a:pt x="0" y="0"/>
                                </a:moveTo>
                                <a:lnTo>
                                  <a:pt x="1478915" y="0"/>
                                </a:lnTo>
                                <a:lnTo>
                                  <a:pt x="147891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07" name="Shape 9207"/>
                        <wps:cNvSpPr/>
                        <wps:spPr>
                          <a:xfrm>
                            <a:off x="1478864"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08" name="Shape 9208"/>
                        <wps:cNvSpPr/>
                        <wps:spPr>
                          <a:xfrm>
                            <a:off x="1497152" y="0"/>
                            <a:ext cx="155448" cy="18288"/>
                          </a:xfrm>
                          <a:custGeom>
                            <a:avLst/>
                            <a:gdLst/>
                            <a:ahLst/>
                            <a:cxnLst/>
                            <a:rect l="0" t="0" r="0" b="0"/>
                            <a:pathLst>
                              <a:path w="155448" h="18288">
                                <a:moveTo>
                                  <a:pt x="0" y="0"/>
                                </a:moveTo>
                                <a:lnTo>
                                  <a:pt x="155448" y="0"/>
                                </a:lnTo>
                                <a:lnTo>
                                  <a:pt x="15544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09" name="Shape 9209"/>
                        <wps:cNvSpPr/>
                        <wps:spPr>
                          <a:xfrm>
                            <a:off x="165260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10" name="Shape 9210"/>
                        <wps:cNvSpPr/>
                        <wps:spPr>
                          <a:xfrm>
                            <a:off x="1670888" y="0"/>
                            <a:ext cx="3829812" cy="18288"/>
                          </a:xfrm>
                          <a:custGeom>
                            <a:avLst/>
                            <a:gdLst/>
                            <a:ahLst/>
                            <a:cxnLst/>
                            <a:rect l="0" t="0" r="0" b="0"/>
                            <a:pathLst>
                              <a:path w="3829812" h="18288">
                                <a:moveTo>
                                  <a:pt x="0" y="0"/>
                                </a:moveTo>
                                <a:lnTo>
                                  <a:pt x="3829812" y="0"/>
                                </a:lnTo>
                                <a:lnTo>
                                  <a:pt x="382981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11" name="Shape 9211"/>
                        <wps:cNvSpPr/>
                        <wps:spPr>
                          <a:xfrm>
                            <a:off x="550070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12" name="Shape 9212"/>
                        <wps:cNvSpPr/>
                        <wps:spPr>
                          <a:xfrm>
                            <a:off x="5518988" y="0"/>
                            <a:ext cx="67056" cy="18288"/>
                          </a:xfrm>
                          <a:custGeom>
                            <a:avLst/>
                            <a:gdLst/>
                            <a:ahLst/>
                            <a:cxnLst/>
                            <a:rect l="0" t="0" r="0" b="0"/>
                            <a:pathLst>
                              <a:path w="67056" h="18288">
                                <a:moveTo>
                                  <a:pt x="0" y="0"/>
                                </a:moveTo>
                                <a:lnTo>
                                  <a:pt x="67056" y="0"/>
                                </a:lnTo>
                                <a:lnTo>
                                  <a:pt x="6705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16="http://schemas.microsoft.com/office/drawing/2014/main" xmlns:c="http://schemas.openxmlformats.org/drawingml/2006/chart" xmlns:a14="http://schemas.microsoft.com/office/drawing/2010/main" xmlns:a="http://schemas.openxmlformats.org/drawingml/2006/main">
            <w:pict>
              <v:group id="Group 8618" style="width:439.846pt;height:1.44pt;mso-position-horizontal-relative:char;mso-position-vertical-relative:line" coordsize="55860,182">
                <v:shape id="Shape 9213" style="position:absolute;width:14789;height:182;left:0;top:0;" coordsize="1478915,18288" path="m0,0l1478915,0l1478915,18288l0,18288l0,0">
                  <v:stroke on="false" weight="0pt" color="#000000" opacity="0" miterlimit="10" joinstyle="miter" endcap="flat"/>
                  <v:fill on="true" color="#000000"/>
                </v:shape>
                <v:shape id="Shape 9214" style="position:absolute;width:182;height:182;left:14788;top:0;" coordsize="18288,18288" path="m0,0l18288,0l18288,18288l0,18288l0,0">
                  <v:stroke on="false" weight="0pt" color="#000000" opacity="0" miterlimit="10" joinstyle="miter" endcap="flat"/>
                  <v:fill on="true" color="#000000"/>
                </v:shape>
                <v:shape id="Shape 9215" style="position:absolute;width:1554;height:182;left:14971;top:0;" coordsize="155448,18288" path="m0,0l155448,0l155448,18288l0,18288l0,0">
                  <v:stroke on="false" weight="0pt" color="#000000" opacity="0" miterlimit="10" joinstyle="miter" endcap="flat"/>
                  <v:fill on="true" color="#000000"/>
                </v:shape>
                <v:shape id="Shape 9216" style="position:absolute;width:182;height:182;left:16526;top:0;" coordsize="18288,18288" path="m0,0l18288,0l18288,18288l0,18288l0,0">
                  <v:stroke on="false" weight="0pt" color="#000000" opacity="0" miterlimit="10" joinstyle="miter" endcap="flat"/>
                  <v:fill on="true" color="#000000"/>
                </v:shape>
                <v:shape id="Shape 9217" style="position:absolute;width:38298;height:182;left:16708;top:0;" coordsize="3829812,18288" path="m0,0l3829812,0l3829812,18288l0,18288l0,0">
                  <v:stroke on="false" weight="0pt" color="#000000" opacity="0" miterlimit="10" joinstyle="miter" endcap="flat"/>
                  <v:fill on="true" color="#000000"/>
                </v:shape>
                <v:shape id="Shape 9218" style="position:absolute;width:182;height:182;left:55007;top:0;" coordsize="18288,18288" path="m0,0l18288,0l18288,18288l0,18288l0,0">
                  <v:stroke on="false" weight="0pt" color="#000000" opacity="0" miterlimit="10" joinstyle="miter" endcap="flat"/>
                  <v:fill on="true" color="#000000"/>
                </v:shape>
                <v:shape id="Shape 9219" style="position:absolute;width:670;height:182;left:55189;top:0;" coordsize="67056,18288" path="m0,0l67056,0l67056,18288l0,18288l0,0">
                  <v:stroke on="false" weight="0pt" color="#000000" opacity="0" miterlimit="10" joinstyle="miter" endcap="flat"/>
                  <v:fill on="true" color="#000000"/>
                </v:shape>
              </v:group>
            </w:pict>
          </mc:Fallback>
        </mc:AlternateContent>
      </w:r>
    </w:p>
    <w:p w14:paraId="6445AA99" w14:textId="77777777" w:rsidR="008B2319" w:rsidRPr="00D81F5F" w:rsidRDefault="00000000">
      <w:pPr>
        <w:spacing w:after="8" w:line="259" w:lineRule="auto"/>
        <w:ind w:left="0" w:firstLine="0"/>
        <w:jc w:val="left"/>
      </w:pPr>
      <w:r w:rsidRPr="00D81F5F">
        <w:tab/>
      </w:r>
      <w:r w:rsidRPr="00D81F5F">
        <w:rPr>
          <w:b/>
        </w:rPr>
        <w:tab/>
      </w:r>
      <w:r w:rsidRPr="00D81F5F">
        <w:tab/>
      </w:r>
    </w:p>
    <w:p w14:paraId="5FAEA212" w14:textId="4B345075" w:rsidR="008B2319" w:rsidRPr="00D81F5F" w:rsidRDefault="00000000">
      <w:pPr>
        <w:tabs>
          <w:tab w:val="center" w:pos="3813"/>
        </w:tabs>
        <w:ind w:left="0" w:firstLine="0"/>
        <w:jc w:val="left"/>
      </w:pPr>
      <w:r w:rsidRPr="00D81F5F">
        <w:t xml:space="preserve">ARTICLE INFO </w:t>
      </w:r>
      <w:r w:rsidRPr="00D81F5F">
        <w:tab/>
        <w:t>ABSTRAC</w:t>
      </w:r>
    </w:p>
    <w:p w14:paraId="498C7B5C" w14:textId="250E79D7" w:rsidR="008B2319" w:rsidRPr="00D81F5F" w:rsidRDefault="00000000">
      <w:pPr>
        <w:tabs>
          <w:tab w:val="center" w:pos="3745"/>
        </w:tabs>
        <w:ind w:left="0" w:firstLine="0"/>
        <w:jc w:val="left"/>
      </w:pPr>
      <w:r w:rsidRPr="00D81F5F">
        <w:rPr>
          <w:sz w:val="18"/>
        </w:rPr>
        <w:t>ARTICLE INFO</w:t>
      </w:r>
    </w:p>
    <w:tbl>
      <w:tblPr>
        <w:tblStyle w:val="TableGrid"/>
        <w:tblW w:w="8797" w:type="dxa"/>
        <w:tblInd w:w="0" w:type="dxa"/>
        <w:tblCellMar>
          <w:right w:w="84" w:type="dxa"/>
        </w:tblCellMar>
        <w:tblLook w:val="04A0" w:firstRow="1" w:lastRow="0" w:firstColumn="1" w:lastColumn="0" w:noHBand="0" w:noVBand="1"/>
      </w:tblPr>
      <w:tblGrid>
        <w:gridCol w:w="2603"/>
        <w:gridCol w:w="6194"/>
      </w:tblGrid>
      <w:tr w:rsidR="008B2319" w:rsidRPr="00D81F5F" w14:paraId="48D4263D" w14:textId="77777777">
        <w:trPr>
          <w:trHeight w:val="1843"/>
        </w:trPr>
        <w:tc>
          <w:tcPr>
            <w:tcW w:w="2603" w:type="dxa"/>
            <w:tcBorders>
              <w:top w:val="nil"/>
              <w:left w:val="nil"/>
              <w:bottom w:val="nil"/>
              <w:right w:val="nil"/>
            </w:tcBorders>
            <w:vAlign w:val="bottom"/>
          </w:tcPr>
          <w:p w14:paraId="2D6544B3" w14:textId="77777777" w:rsidR="008B2319" w:rsidRPr="00D81F5F" w:rsidRDefault="00000000">
            <w:pPr>
              <w:tabs>
                <w:tab w:val="center" w:pos="2329"/>
              </w:tabs>
              <w:spacing w:after="0" w:line="259" w:lineRule="auto"/>
              <w:ind w:left="0" w:firstLine="0"/>
              <w:jc w:val="left"/>
            </w:pPr>
            <w:r w:rsidRPr="00D81F5F">
              <w:rPr>
                <w:b/>
                <w:sz w:val="18"/>
              </w:rPr>
              <w:t xml:space="preserve">Article history </w:t>
            </w:r>
            <w:r w:rsidRPr="00D81F5F">
              <w:rPr>
                <w:b/>
                <w:sz w:val="18"/>
              </w:rPr>
              <w:tab/>
            </w:r>
          </w:p>
          <w:p w14:paraId="21095D6C" w14:textId="77777777" w:rsidR="008B2319" w:rsidRPr="00D81F5F" w:rsidRDefault="00000000">
            <w:pPr>
              <w:spacing w:after="0" w:line="259" w:lineRule="auto"/>
              <w:ind w:left="0" w:firstLine="0"/>
              <w:jc w:val="left"/>
            </w:pPr>
            <w:proofErr w:type="spellStart"/>
            <w:r w:rsidRPr="00D81F5F">
              <w:rPr>
                <w:sz w:val="18"/>
              </w:rPr>
              <w:t>Submited</w:t>
            </w:r>
            <w:proofErr w:type="spellEnd"/>
            <w:r w:rsidRPr="00D81F5F">
              <w:rPr>
                <w:sz w:val="18"/>
              </w:rPr>
              <w:t xml:space="preserve"> </w:t>
            </w:r>
          </w:p>
          <w:p w14:paraId="7F51BC44" w14:textId="77777777" w:rsidR="008B2319" w:rsidRPr="00D81F5F" w:rsidRDefault="00000000">
            <w:pPr>
              <w:spacing w:after="0" w:line="259" w:lineRule="auto"/>
              <w:ind w:left="0" w:firstLine="0"/>
              <w:jc w:val="left"/>
            </w:pPr>
            <w:r w:rsidRPr="00D81F5F">
              <w:rPr>
                <w:sz w:val="18"/>
              </w:rPr>
              <w:t xml:space="preserve">Revised  </w:t>
            </w:r>
          </w:p>
          <w:p w14:paraId="7DB07A34" w14:textId="77777777" w:rsidR="008B2319" w:rsidRPr="00D81F5F" w:rsidRDefault="00000000">
            <w:pPr>
              <w:spacing w:after="0" w:line="259" w:lineRule="auto"/>
              <w:ind w:left="0" w:firstLine="0"/>
              <w:jc w:val="left"/>
            </w:pPr>
            <w:r w:rsidRPr="00D81F5F">
              <w:rPr>
                <w:sz w:val="18"/>
              </w:rPr>
              <w:t xml:space="preserve">Accepted </w:t>
            </w:r>
          </w:p>
          <w:p w14:paraId="764D26AE" w14:textId="77777777" w:rsidR="008B2319" w:rsidRPr="00D81F5F" w:rsidRDefault="00000000">
            <w:pPr>
              <w:spacing w:after="0" w:line="259" w:lineRule="auto"/>
              <w:ind w:left="0" w:firstLine="0"/>
              <w:jc w:val="left"/>
            </w:pPr>
            <w:r w:rsidRPr="00D81F5F">
              <w:rPr>
                <w:b/>
                <w:sz w:val="18"/>
              </w:rPr>
              <w:t xml:space="preserve">Article History </w:t>
            </w:r>
          </w:p>
          <w:p w14:paraId="08D1E2EA" w14:textId="77777777" w:rsidR="008B2319" w:rsidRPr="00D81F5F" w:rsidRDefault="00000000">
            <w:pPr>
              <w:spacing w:after="0" w:line="259" w:lineRule="auto"/>
              <w:ind w:left="0" w:firstLine="0"/>
              <w:jc w:val="left"/>
            </w:pPr>
            <w:r w:rsidRPr="00D81F5F">
              <w:rPr>
                <w:sz w:val="18"/>
              </w:rPr>
              <w:t xml:space="preserve">Send </w:t>
            </w:r>
          </w:p>
          <w:p w14:paraId="76FAEEAA" w14:textId="77777777" w:rsidR="008B2319" w:rsidRPr="00D81F5F" w:rsidRDefault="00000000">
            <w:pPr>
              <w:spacing w:after="88" w:line="229" w:lineRule="auto"/>
              <w:ind w:left="0" w:right="1010" w:firstLine="0"/>
              <w:jc w:val="left"/>
            </w:pPr>
            <w:r w:rsidRPr="00D81F5F">
              <w:rPr>
                <w:sz w:val="18"/>
              </w:rPr>
              <w:t xml:space="preserve">Review Accepted </w:t>
            </w:r>
          </w:p>
          <w:p w14:paraId="13A2F0CA" w14:textId="77777777" w:rsidR="008B2319" w:rsidRPr="00D81F5F" w:rsidRDefault="00000000">
            <w:pPr>
              <w:spacing w:after="0" w:line="259" w:lineRule="auto"/>
              <w:ind w:left="0" w:firstLine="0"/>
              <w:jc w:val="left"/>
            </w:pPr>
            <w:r w:rsidRPr="00D81F5F">
              <w:rPr>
                <w:b/>
                <w:i/>
                <w:sz w:val="18"/>
              </w:rPr>
              <w:tab/>
            </w:r>
          </w:p>
        </w:tc>
        <w:tc>
          <w:tcPr>
            <w:tcW w:w="6194" w:type="dxa"/>
            <w:tcBorders>
              <w:top w:val="single" w:sz="29" w:space="0" w:color="F2F2F2"/>
              <w:left w:val="nil"/>
              <w:bottom w:val="nil"/>
              <w:right w:val="nil"/>
            </w:tcBorders>
            <w:shd w:val="clear" w:color="auto" w:fill="F2F2F2"/>
          </w:tcPr>
          <w:p w14:paraId="102DD1BE" w14:textId="7F095BC2" w:rsidR="008B2319" w:rsidRPr="00D81F5F" w:rsidRDefault="00617AD3" w:rsidP="00617AD3">
            <w:pPr>
              <w:spacing w:after="0" w:line="360" w:lineRule="auto"/>
              <w:rPr>
                <w:szCs w:val="20"/>
              </w:rPr>
            </w:pPr>
            <w:r w:rsidRPr="00D81F5F">
              <w:rPr>
                <w:szCs w:val="20"/>
              </w:rPr>
              <w:t xml:space="preserve">This research explores trends, challenges and innovations in digital transformation in the public sector, with a focus on its implications in Indonesia. The objectives of this study are to evaluate operational efficiency improvements in public services generated by digital transformation, identify challenges in the implementation of digital technologies, and provide policy recommendations to ensure the sustainability of technology adoption in the Indonesian public sector. The methodology used included a literature review and data analysis from the Scopus database, which was </w:t>
            </w:r>
            <w:proofErr w:type="spellStart"/>
            <w:r w:rsidRPr="00D81F5F">
              <w:rPr>
                <w:szCs w:val="20"/>
              </w:rPr>
              <w:t>analyzed</w:t>
            </w:r>
            <w:proofErr w:type="spellEnd"/>
            <w:r w:rsidRPr="00D81F5F">
              <w:rPr>
                <w:szCs w:val="20"/>
              </w:rPr>
              <w:t xml:space="preserve"> using </w:t>
            </w:r>
            <w:proofErr w:type="spellStart"/>
            <w:r w:rsidRPr="00D81F5F">
              <w:rPr>
                <w:szCs w:val="20"/>
              </w:rPr>
              <w:t>VOSviewer</w:t>
            </w:r>
            <w:proofErr w:type="spellEnd"/>
            <w:r w:rsidRPr="00D81F5F">
              <w:rPr>
                <w:szCs w:val="20"/>
              </w:rPr>
              <w:t xml:space="preserve"> to identify key patterns and trends in digital technology adoption in the public sector. The results show that the success of digital transformation depends not only on the adoption of new technologies, but also requires structural changes and organizational culture. Key challenges include resistance to change, the digital divide between urban and rural areas, and infrastructure limitations. This research provides policy recommendations that can accelerate the adoption of digital technologies in Indonesia, particularly through cross-sector collaboration and infrastructure improvements. The findings are expected to serve as a reference for policymakers and practitioners to strengthen the digitalization of public services in a sustainable manner. </w:t>
            </w:r>
          </w:p>
        </w:tc>
      </w:tr>
      <w:tr w:rsidR="008B2319" w:rsidRPr="00D81F5F" w14:paraId="048A95EC" w14:textId="77777777">
        <w:trPr>
          <w:trHeight w:val="2490"/>
        </w:trPr>
        <w:tc>
          <w:tcPr>
            <w:tcW w:w="2603" w:type="dxa"/>
            <w:tcBorders>
              <w:top w:val="nil"/>
              <w:left w:val="nil"/>
              <w:bottom w:val="single" w:sz="12" w:space="0" w:color="000000"/>
              <w:right w:val="nil"/>
            </w:tcBorders>
          </w:tcPr>
          <w:p w14:paraId="0DCBBF31" w14:textId="77777777" w:rsidR="008B2319" w:rsidRPr="00D81F5F" w:rsidRDefault="00000000">
            <w:pPr>
              <w:spacing w:after="0" w:line="259" w:lineRule="auto"/>
              <w:ind w:left="0" w:firstLine="0"/>
              <w:jc w:val="left"/>
            </w:pPr>
            <w:r w:rsidRPr="00D81F5F">
              <w:rPr>
                <w:b/>
                <w:sz w:val="18"/>
              </w:rPr>
              <w:t xml:space="preserve">Keywords </w:t>
            </w:r>
          </w:p>
          <w:p w14:paraId="014EF448" w14:textId="77777777" w:rsidR="007A5910" w:rsidRDefault="007A5910" w:rsidP="007A5910">
            <w:pPr>
              <w:spacing w:after="0" w:line="259" w:lineRule="auto"/>
              <w:ind w:left="0" w:firstLine="0"/>
              <w:jc w:val="left"/>
            </w:pPr>
            <w:r>
              <w:t xml:space="preserve">Digital Transformation </w:t>
            </w:r>
          </w:p>
          <w:p w14:paraId="4CFE0D8D" w14:textId="77777777" w:rsidR="007A5910" w:rsidRDefault="007A5910" w:rsidP="007A5910">
            <w:pPr>
              <w:spacing w:after="0" w:line="259" w:lineRule="auto"/>
              <w:ind w:left="0" w:firstLine="0"/>
              <w:jc w:val="left"/>
            </w:pPr>
            <w:r>
              <w:t>Public Sector</w:t>
            </w:r>
          </w:p>
          <w:p w14:paraId="495AB82F" w14:textId="77777777" w:rsidR="007A5910" w:rsidRDefault="007A5910" w:rsidP="007A5910">
            <w:pPr>
              <w:spacing w:after="0" w:line="259" w:lineRule="auto"/>
              <w:ind w:left="0" w:firstLine="0"/>
              <w:jc w:val="left"/>
            </w:pPr>
            <w:r>
              <w:t>Public Policy</w:t>
            </w:r>
          </w:p>
          <w:p w14:paraId="3858BFD6" w14:textId="77777777" w:rsidR="007A5910" w:rsidRDefault="007A5910" w:rsidP="007A5910">
            <w:pPr>
              <w:spacing w:after="0" w:line="259" w:lineRule="auto"/>
              <w:ind w:left="0" w:firstLine="0"/>
              <w:jc w:val="left"/>
            </w:pPr>
            <w:r>
              <w:t>Digital Divide</w:t>
            </w:r>
          </w:p>
          <w:p w14:paraId="70FDF413" w14:textId="77777777" w:rsidR="007A5910" w:rsidRDefault="007A5910" w:rsidP="007A5910">
            <w:pPr>
              <w:spacing w:after="0" w:line="259" w:lineRule="auto"/>
              <w:ind w:left="0" w:firstLine="0"/>
              <w:jc w:val="left"/>
            </w:pPr>
            <w:r>
              <w:t>Technology Infrastructure</w:t>
            </w:r>
          </w:p>
          <w:p w14:paraId="6F325A27" w14:textId="44C8D223" w:rsidR="008B2319" w:rsidRPr="00D81F5F" w:rsidRDefault="008B2319" w:rsidP="000E796E">
            <w:pPr>
              <w:spacing w:after="0" w:line="259" w:lineRule="auto"/>
              <w:ind w:left="0" w:firstLine="0"/>
              <w:jc w:val="left"/>
            </w:pPr>
          </w:p>
        </w:tc>
        <w:tc>
          <w:tcPr>
            <w:tcW w:w="6194" w:type="dxa"/>
            <w:tcBorders>
              <w:top w:val="nil"/>
              <w:left w:val="nil"/>
              <w:bottom w:val="single" w:sz="12" w:space="0" w:color="000000"/>
              <w:right w:val="nil"/>
            </w:tcBorders>
            <w:shd w:val="clear" w:color="auto" w:fill="F2F2F2"/>
          </w:tcPr>
          <w:p w14:paraId="79B98100" w14:textId="77777777" w:rsidR="008B2319" w:rsidRPr="00D81F5F" w:rsidRDefault="008B2319">
            <w:pPr>
              <w:spacing w:after="26" w:line="259" w:lineRule="auto"/>
              <w:ind w:left="240" w:firstLine="0"/>
              <w:jc w:val="left"/>
            </w:pPr>
          </w:p>
          <w:p w14:paraId="5C96E07F" w14:textId="77777777" w:rsidR="008B2319" w:rsidRPr="00D81F5F" w:rsidRDefault="008B2319">
            <w:pPr>
              <w:spacing w:after="26" w:line="259" w:lineRule="auto"/>
              <w:ind w:left="240" w:firstLine="0"/>
              <w:jc w:val="left"/>
            </w:pPr>
          </w:p>
          <w:p w14:paraId="232F5FF3" w14:textId="77777777" w:rsidR="008B2319" w:rsidRPr="00D81F5F" w:rsidRDefault="008B2319">
            <w:pPr>
              <w:spacing w:after="31" w:line="259" w:lineRule="auto"/>
              <w:ind w:left="240" w:firstLine="0"/>
              <w:jc w:val="left"/>
            </w:pPr>
          </w:p>
          <w:p w14:paraId="6B80B1C2" w14:textId="77777777" w:rsidR="008B2319" w:rsidRPr="00D81F5F" w:rsidRDefault="008B2319">
            <w:pPr>
              <w:spacing w:after="0" w:line="259" w:lineRule="auto"/>
              <w:ind w:left="0" w:right="152" w:firstLine="0"/>
              <w:jc w:val="right"/>
            </w:pPr>
          </w:p>
          <w:p w14:paraId="4330606E" w14:textId="77777777" w:rsidR="008B2319" w:rsidRPr="00D81F5F" w:rsidRDefault="00000000">
            <w:pPr>
              <w:spacing w:after="0" w:line="259" w:lineRule="auto"/>
              <w:ind w:left="0" w:right="206" w:firstLine="0"/>
              <w:jc w:val="right"/>
            </w:pPr>
            <w:r w:rsidRPr="00D81F5F">
              <w:rPr>
                <w:sz w:val="17"/>
              </w:rPr>
              <w:t xml:space="preserve">This is an open access article under the </w:t>
            </w:r>
            <w:hyperlink r:id="rId9">
              <w:r w:rsidR="008B2319" w:rsidRPr="00D81F5F">
                <w:rPr>
                  <w:color w:val="0563C1"/>
                  <w:sz w:val="17"/>
                  <w:u w:val="single" w:color="0563C1"/>
                </w:rPr>
                <w:t xml:space="preserve">CC-BY-NC-SA </w:t>
              </w:r>
            </w:hyperlink>
            <w:r w:rsidRPr="00D81F5F">
              <w:rPr>
                <w:sz w:val="17"/>
              </w:rPr>
              <w:t xml:space="preserve">license. </w:t>
            </w:r>
          </w:p>
          <w:p w14:paraId="31F026AA" w14:textId="77777777" w:rsidR="008B2319" w:rsidRPr="00D81F5F" w:rsidRDefault="00000000">
            <w:pPr>
              <w:spacing w:after="0" w:line="259" w:lineRule="auto"/>
              <w:ind w:left="0" w:right="203" w:firstLine="0"/>
              <w:jc w:val="right"/>
            </w:pPr>
            <w:r w:rsidRPr="00D81F5F">
              <w:rPr>
                <w:sz w:val="17"/>
              </w:rPr>
              <w:t xml:space="preserve">Open access article with </w:t>
            </w:r>
            <w:hyperlink r:id="rId10">
              <w:r w:rsidR="008B2319" w:rsidRPr="00D81F5F">
                <w:rPr>
                  <w:color w:val="0563C1"/>
                  <w:sz w:val="17"/>
                  <w:u w:val="single" w:color="0563C1"/>
                </w:rPr>
                <w:t xml:space="preserve">CC-BY-NC-SA </w:t>
              </w:r>
            </w:hyperlink>
            <w:r w:rsidRPr="00D81F5F">
              <w:rPr>
                <w:sz w:val="17"/>
              </w:rPr>
              <w:t xml:space="preserve">model as the license.    </w:t>
            </w:r>
          </w:p>
          <w:p w14:paraId="65082544" w14:textId="77777777" w:rsidR="008B2319" w:rsidRPr="00D81F5F" w:rsidRDefault="00000000">
            <w:pPr>
              <w:spacing w:after="0" w:line="259" w:lineRule="auto"/>
              <w:ind w:left="0" w:right="23" w:firstLine="0"/>
              <w:jc w:val="right"/>
            </w:pPr>
            <w:r w:rsidRPr="00D81F5F">
              <w:rPr>
                <w:noProof/>
              </w:rPr>
              <w:drawing>
                <wp:inline distT="0" distB="0" distL="0" distR="0" wp14:anchorId="12955063" wp14:editId="0539A62F">
                  <wp:extent cx="976871" cy="213995"/>
                  <wp:effectExtent l="0" t="0" r="0" b="0"/>
                  <wp:docPr id="299" name="Picture 299"/>
                  <wp:cNvGraphicFramePr/>
                  <a:graphic xmlns:a="http://schemas.openxmlformats.org/drawingml/2006/main">
                    <a:graphicData uri="http://schemas.openxmlformats.org/drawingml/2006/picture">
                      <pic:pic xmlns:pic="http://schemas.openxmlformats.org/drawingml/2006/picture">
                        <pic:nvPicPr>
                          <pic:cNvPr id="299" name="Picture 299"/>
                          <pic:cNvPicPr/>
                        </pic:nvPicPr>
                        <pic:blipFill>
                          <a:blip r:embed="rId11"/>
                          <a:stretch>
                            <a:fillRect/>
                          </a:stretch>
                        </pic:blipFill>
                        <pic:spPr>
                          <a:xfrm>
                            <a:off x="0" y="0"/>
                            <a:ext cx="976871" cy="213995"/>
                          </a:xfrm>
                          <a:prstGeom prst="rect">
                            <a:avLst/>
                          </a:prstGeom>
                        </pic:spPr>
                      </pic:pic>
                    </a:graphicData>
                  </a:graphic>
                </wp:inline>
              </w:drawing>
            </w:r>
            <w:r w:rsidRPr="00D81F5F">
              <w:rPr>
                <w:sz w:val="17"/>
              </w:rPr>
              <w:t xml:space="preserve">    </w:t>
            </w:r>
          </w:p>
        </w:tc>
      </w:tr>
    </w:tbl>
    <w:p w14:paraId="09EFC43D" w14:textId="000D315C" w:rsidR="008B2319" w:rsidRPr="00D81F5F" w:rsidRDefault="008B2319" w:rsidP="00D81F5F">
      <w:pPr>
        <w:spacing w:after="0" w:line="259" w:lineRule="auto"/>
        <w:ind w:left="43" w:firstLine="0"/>
        <w:jc w:val="center"/>
      </w:pPr>
    </w:p>
    <w:p w14:paraId="4E480AD0" w14:textId="5F906274" w:rsidR="008B2319" w:rsidRPr="00D81F5F" w:rsidRDefault="00000000">
      <w:pPr>
        <w:pStyle w:val="Heading1"/>
        <w:ind w:left="259" w:right="0" w:hanging="274"/>
        <w:rPr>
          <w:sz w:val="24"/>
          <w:szCs w:val="24"/>
        </w:rPr>
      </w:pPr>
      <w:r w:rsidRPr="00D81F5F">
        <w:rPr>
          <w:sz w:val="24"/>
          <w:szCs w:val="24"/>
        </w:rPr>
        <w:t xml:space="preserve">Introduction </w:t>
      </w:r>
    </w:p>
    <w:p w14:paraId="202846CE" w14:textId="7A77FE36" w:rsidR="00617AD3" w:rsidRPr="00D81F5F" w:rsidRDefault="00000000" w:rsidP="00CE35A4">
      <w:pPr>
        <w:spacing w:line="360" w:lineRule="auto"/>
        <w:ind w:left="284" w:firstLine="0"/>
        <w:rPr>
          <w:sz w:val="24"/>
          <w:szCs w:val="24"/>
        </w:rPr>
      </w:pPr>
      <w:r w:rsidRPr="00D81F5F">
        <w:rPr>
          <w:sz w:val="24"/>
          <w:szCs w:val="24"/>
        </w:rPr>
        <w:t xml:space="preserve">The </w:t>
      </w:r>
      <w:r w:rsidR="00617AD3" w:rsidRPr="00D81F5F">
        <w:rPr>
          <w:sz w:val="24"/>
          <w:szCs w:val="24"/>
        </w:rPr>
        <w:t>Digital transformation in the public sector has been a major focus in academic literature over the past decades, given its significant impact on institutional sustainability and public service delivery</w:t>
      </w:r>
      <w:r w:rsidR="000E796E">
        <w:rPr>
          <w:sz w:val="24"/>
          <w:szCs w:val="24"/>
        </w:rPr>
        <w:t xml:space="preserve"> </w:t>
      </w:r>
      <w:r w:rsidR="00617AD3" w:rsidRPr="00D81F5F">
        <w:rPr>
          <w:sz w:val="24"/>
          <w:szCs w:val="24"/>
        </w:rPr>
        <w:fldChar w:fldCharType="begin" w:fldLock="1"/>
      </w:r>
      <w:r w:rsidR="000E796E">
        <w:rPr>
          <w:sz w:val="24"/>
          <w:szCs w:val="24"/>
        </w:rPr>
        <w:instrText>ADDIN CSL_CITATION {"citationItems":[{"id":"ITEM-1","itemData":{"DOI":"10.1016/j.giq.2019.06.002","ISSN":"0740624X","abstract":"Digital transformation approaches outside the public sector are changing citizens' expectations of governments' ability to deliver high-value, real-time digital services. In response to the changing expectations and triggered by supranational agreements, governments are changing their mode of operation to improve public service delivery, be more efficient and effective in their designs, and achieve objectives such as increased transparency, interoperability, or citizen satisfaction. However, beyond the availability of consultancy reports, there is little systematic insight into the way that public administrators themselves are currently defining digital transformation in their own day-to-day practices, how they are approaching digital transformation projects, and what their expected outcomes are. We provide an empirically-based definition of digital transformation derived from expert interviews and develop a conceptual framework with reasons for, processes to, and expected outcomes of digital transformation in the public sector.","author":[{"dropping-particle":"","family":"Mergel","given":"Ines","non-dropping-particle":"","parse-names":false,"suffix":""},{"dropping-particle":"","family":"Edelmann","given":"Noella","non-dropping-particle":"","parse-names":false,"suffix":""},{"dropping-particle":"","family":"Haug","given":"Nathalie","non-dropping-particle":"","parse-names":false,"suffix":""}],"container-title":"Government Information Quarterly","id":"ITEM-1","issue":"4","issued":{"date-parts":[["2019"]]},"page":"101385","publisher":"Elsevier","title":"Defining digital transformation: Results from expert interviews","type":"article-journal","volume":"36"},"uris":["http://www.mendeley.com/documents/?uuid=2c5ae30a-5fe5-4e27-a071-a0ea775fb5e4"]}],"mendeley":{"formattedCitation":"(Mergel et al., 2019)","plainTextFormattedCitation":"(Mergel et al., 2019)","previouslyFormattedCitation":"(Mergel et al., 2019)"},"properties":{"noteIndex":0},"schema":"https://github.com/citation-style-language/schema/raw/master/csl-citation.json"}</w:instrText>
      </w:r>
      <w:r w:rsidR="00617AD3" w:rsidRPr="00D81F5F">
        <w:rPr>
          <w:sz w:val="24"/>
          <w:szCs w:val="24"/>
        </w:rPr>
        <w:fldChar w:fldCharType="separate"/>
      </w:r>
      <w:r w:rsidR="000E796E" w:rsidRPr="000E796E">
        <w:rPr>
          <w:noProof/>
          <w:sz w:val="24"/>
          <w:szCs w:val="24"/>
        </w:rPr>
        <w:t>(Mergel et al., 2019)</w:t>
      </w:r>
      <w:r w:rsidR="00617AD3" w:rsidRPr="00D81F5F">
        <w:rPr>
          <w:sz w:val="24"/>
          <w:szCs w:val="24"/>
        </w:rPr>
        <w:fldChar w:fldCharType="end"/>
      </w:r>
      <w:r w:rsidR="000E796E">
        <w:rPr>
          <w:sz w:val="24"/>
          <w:szCs w:val="24"/>
        </w:rPr>
        <w:t>.</w:t>
      </w:r>
      <w:r w:rsidR="00617AD3" w:rsidRPr="00D81F5F">
        <w:rPr>
          <w:sz w:val="24"/>
          <w:szCs w:val="24"/>
        </w:rPr>
        <w:t xml:space="preserve"> This research explores trends and innovations in digital transformation, which are essential for governments to remain relevant in the face of rapid technological developments</w:t>
      </w:r>
      <w:r w:rsidR="00617AD3" w:rsidRPr="00D81F5F">
        <w:rPr>
          <w:sz w:val="24"/>
          <w:szCs w:val="24"/>
        </w:rPr>
        <w:fldChar w:fldCharType="begin" w:fldLock="1"/>
      </w:r>
      <w:r w:rsidR="000E796E">
        <w:rPr>
          <w:sz w:val="24"/>
          <w:szCs w:val="24"/>
        </w:rPr>
        <w:instrText>ADDIN CSL_CITATION {"citationItems":[{"id":"ITEM-1","itemData":{"abstract":"(S&amp;A) practice, comprised of 2,100+ passionate strategy and analytics practitioners located across the country. GPS S&amp;A collaborates with federal agencies, state and local governments, and higher education institutions to bring integrated strategy, advanced analytics, and cognitive solutions and data assets to bear on clients' most critical mission challenges. In leading the S&amp;A practice, Manstof is actively driving our continued rapid growth, delivering the #1 talent experience to our practice, and fostering a cohesive culture that builds and gives back to our broader communities.","author":[{"dropping-particle":"","family":"Deloitte Insights","given":"","non-dropping-particle":"","parse-names":false,"suffix":""}],"id":"ITEM-1","issued":{"date-parts":[["2021"]]},"title":"Seven pivots for government’s digital transformation","type":"article-journal"},"uris":["http://www.mendeley.com/documents/?uuid=734e5413-a83b-43ce-8820-73b6bc38ad87"]}],"mendeley":{"formattedCitation":"(Deloitte Insights, 2021)","manualFormatting":" (Deloitte Insights, 2021; ","plainTextFormattedCitation":"(Deloitte Insights, 2021)","previouslyFormattedCitation":"(Deloitte Insights, 2021)"},"properties":{"noteIndex":0},"schema":"https://github.com/citation-style-language/schema/raw/master/csl-citation.json"}</w:instrText>
      </w:r>
      <w:r w:rsidR="00617AD3" w:rsidRPr="00D81F5F">
        <w:rPr>
          <w:sz w:val="24"/>
          <w:szCs w:val="24"/>
        </w:rPr>
        <w:fldChar w:fldCharType="separate"/>
      </w:r>
      <w:r w:rsidR="00617AD3" w:rsidRPr="00D81F5F">
        <w:rPr>
          <w:noProof/>
          <w:sz w:val="24"/>
          <w:szCs w:val="24"/>
        </w:rPr>
        <w:t xml:space="preserve"> (Deloitte Insights, 2021</w:t>
      </w:r>
      <w:r w:rsidR="001644D9">
        <w:rPr>
          <w:noProof/>
          <w:sz w:val="24"/>
          <w:szCs w:val="24"/>
        </w:rPr>
        <w:t xml:space="preserve">; </w:t>
      </w:r>
      <w:r w:rsidR="00617AD3" w:rsidRPr="00D81F5F">
        <w:rPr>
          <w:sz w:val="24"/>
          <w:szCs w:val="24"/>
        </w:rPr>
        <w:fldChar w:fldCharType="end"/>
      </w:r>
      <w:r w:rsidR="001644D9">
        <w:rPr>
          <w:sz w:val="24"/>
          <w:szCs w:val="24"/>
        </w:rPr>
        <w:fldChar w:fldCharType="begin" w:fldLock="1"/>
      </w:r>
      <w:r w:rsidR="000E796E">
        <w:rPr>
          <w:sz w:val="24"/>
          <w:szCs w:val="24"/>
        </w:rPr>
        <w:instrText>ADDIN CSL_CITATION {"citationItems":[{"id":"ITEM-1","itemData":{"DOI":"10.24857/rgsa.v18n4-046","ISSN":"1981982X","abstract":"Purpose: This article aims to investigate the impact of digital transformation on public hospital management in Peru, with a specific focus on enhancing the patient experience through the adoption of digital technologies. Objective: The primary objective is to assess the effectiveness of digital transformation strategies in improving the efficiency and accessibility of health services in public hospitals, ultimately aiming to enhance the overall patient experience. Theoretical Reference: The study is grounded in a mixed-method approach, incorporating elements of qualitative and quantitative research. It includes a comparative analysis of digital transformation strategies implemented in a representative sample of public hospitals at international, regional, and national levels. Method: The research design involves in-depth interviews with healthcare professionals and patients, as well as the analysis of secondary data from national and international health databases. The study encompasses a diverse sample of public hospitals, considering varying technological capabilities and levels of digital development. Results and Conclusion: The findings indicate that the progressive implementation of digital technologies in public hospitals in Peru has shown promise in improving the efficiency and accessibility of health services. However, challenges related to infrastructure, systems integration, and data security remain. The study underscores the need for a comprehensive and coordinated strategy for digital transformation in public hospital management. Implications of Research: The study highlights the importance of greater investment and development of digital health policies at the national level to bridge the gap in the adoption and implementation of digital technologies in hospital management. It emphasizes the significance of a collaborative approach between government, healthcare providers, and technology developers to drive digital transformation in the healthcare sector in Peru. Originality/Value: This research contributes to the understanding of the potential of digital transformation in public hospital management, particularly in developing countries like Peru. It provides insights into the challenges, opportunities, and implications of implementing digital technologies to enhance the patient experience and improve healthcare delivery in public hospitals.","author":[{"dropping-particle":"","family":"Huaytan","given":"Jorge Vladimir Pachas","non-dropping-particle":"","parse-names":false,"suffix":""},{"dropping-particle":"","family":"Rojas","given":"Gregorio Gilmer Rosales","non-dropping-particle":"","parse-names":false,"suffix":""},{"dropping-particle":"","family":"Ruiz-Balvin","given":"Maribel Carmen","non-dropping-particle":"","parse-names":false,"suffix":""},{"dropping-particle":"","family":"Roldan","given":"Felix Alfredo Guerrero","non-dropping-particle":"","parse-names":false,"suffix":""},{"dropping-particle":"","family":"Leiva","given":"Nelson Alberto Diaz","non-dropping-particle":"","parse-names":false,"suffix":""},{"dropping-particle":"","family":"Gordillo-Flores","given":"Rafael Edwin","non-dropping-particle":"","parse-names":false,"suffix":""},{"dropping-particle":"","family":"Melly","given":"Jorge Luis Ilquimiche","non-dropping-particle":"","parse-names":false,"suffix":""},{"dropping-particle":"","family":"Tapia-Silguera","given":"Ruben Dario","non-dropping-particle":"","parse-names":false,"suffix":""}],"container-title":"Revista de Gestao Social e Ambiental","id":"ITEM-1","issue":"4","issued":{"date-parts":[["2024"]]},"language":"English","publisher":"ANPAD - Associacao Nacional de Pos-Graduacao e Pesquisa em Administracao","publisher-place":"Universidad Peruana Los Andes, Huancayo, Peru","title":"Digital Transformation in Public Hospital Management: Improving the Patient Experience","type":"article-journal","volume":"18"},"uris":["http://www.mendeley.com/documents/?uuid=055eff2b-79a9-4c77-b6ca-d2b4a2ce575a"]}],"mendeley":{"formattedCitation":"(Huaytan et al., 2024)","manualFormatting":" Huaytan et al., 2024)","plainTextFormattedCitation":"(Huaytan et al., 2024)","previouslyFormattedCitation":"(Huaytan et al., 2024)"},"properties":{"noteIndex":0},"schema":"https://github.com/citation-style-language/schema/raw/master/csl-citation.json"}</w:instrText>
      </w:r>
      <w:r w:rsidR="001644D9">
        <w:rPr>
          <w:sz w:val="24"/>
          <w:szCs w:val="24"/>
        </w:rPr>
        <w:fldChar w:fldCharType="separate"/>
      </w:r>
      <w:r w:rsidR="001644D9" w:rsidRPr="001644D9">
        <w:rPr>
          <w:noProof/>
          <w:sz w:val="24"/>
          <w:szCs w:val="24"/>
        </w:rPr>
        <w:t xml:space="preserve"> Huaytan et al., 2024)</w:t>
      </w:r>
      <w:r w:rsidR="001644D9">
        <w:rPr>
          <w:sz w:val="24"/>
          <w:szCs w:val="24"/>
        </w:rPr>
        <w:fldChar w:fldCharType="end"/>
      </w:r>
      <w:r w:rsidR="000E796E">
        <w:rPr>
          <w:sz w:val="24"/>
          <w:szCs w:val="24"/>
        </w:rPr>
        <w:t>.</w:t>
      </w:r>
      <w:r w:rsidR="00617AD3" w:rsidRPr="00D81F5F">
        <w:rPr>
          <w:sz w:val="24"/>
          <w:szCs w:val="24"/>
        </w:rPr>
        <w:t xml:space="preserve"> While </w:t>
      </w:r>
      <w:r w:rsidR="00617AD3" w:rsidRPr="00D81F5F">
        <w:rPr>
          <w:sz w:val="24"/>
          <w:szCs w:val="24"/>
        </w:rPr>
        <w:lastRenderedPageBreak/>
        <w:t>there has been much progress in the adoption of digital technologies, such as e-government and the use of information and communication technologies (ICT)</w:t>
      </w:r>
      <w:r w:rsidR="000E796E">
        <w:rPr>
          <w:sz w:val="24"/>
          <w:szCs w:val="24"/>
        </w:rPr>
        <w:t xml:space="preserve"> </w:t>
      </w:r>
      <w:r w:rsidR="00617AD3" w:rsidRPr="00D81F5F">
        <w:rPr>
          <w:sz w:val="24"/>
          <w:szCs w:val="24"/>
        </w:rPr>
        <w:fldChar w:fldCharType="begin" w:fldLock="1"/>
      </w:r>
      <w:r w:rsidR="000E796E">
        <w:rPr>
          <w:sz w:val="24"/>
          <w:szCs w:val="24"/>
        </w:rPr>
        <w:instrText>ADDIN CSL_CITATION {"citationItems":[{"id":"ITEM-1","itemData":{"DOI":"10.29379/jedem.v13i2.685","ISSN":"20759517","abstract":"For many years, the public sector has been undergoing digital transformation. Information and communication technologies (ICT) have offered new ways of interaction between governments and their constituents. However, governments face different challenges to migrate users towards digital channels and electronic documents, which are believed to be more cost-efficient for all stakeholders. Despite a plethora of empirical research conducted towards the identification of factors that influence e-government services usage by businesses, there seems to be a lack of 'holistic' understanding in the absence of systematic literature reviews. This paper aims to contribute by hypothesizing a set of mechanisms based on a critical realist process of retroduction. We argue that the factors identified in previous research are a manifestation of mechanisms. Such mechanisms might explain businesses’ usage of ICT when interacting with governments, whether in the context of incidental situations or regular administrative tasks (through online self-service applications) or regular exchange of information (through inter-organizational e-services).","author":[{"dropping-particle":"","family":"Correa-Ospina","given":"Martha","non-dropping-particle":"","parse-names":false,"suffix":""},{"dropping-particle":"","family":"Saxena","given":"Deepak","non-dropping-particle":"","parse-names":false,"suffix":""},{"dropping-particle":"","family":"Pinzón","given":"Beatriz Helena Díaz","non-dropping-particle":"","parse-names":false,"suffix":""}],"container-title":"eJournal of eDemocracy and Open Government","id":"ITEM-1","issue":"2","issued":{"date-parts":[["2021"]]},"language":"English","note":"Cited By :2\n\nExport Date: 17 March 2023\n\nFunding details: Universidad Nacional de Colombia, UNAL\n\nFunding details: Kementerian Sains, Teknologi dan Inovasi, MOSTI\n\nFunding text 1: Keywords: e-government, e-services, acceptance, adoption, mechanisms, businesses, critical realism Acknowledgement: This work is part of a doctoral research at Universidad Nacional de Colombia, that is financially supported by the Ministry of Science, technology, and innovation through the scholarship program 757/2017.\n\nReferences: Alghamdi, S., Beloff, N., Innovative Framework for e-Government adoption in Saudi Arabia: A Study from the business sector perspective (2016) International Journal of Advanced Computer Science and Appli-cations, 7 (1). , https://doi.org/10.14569/ijacsa.2016.070189; \nAlomar, M. A., de Visscher, C., Which Factors Can Affect e-Public Procurement Adoption by Private Firms? The Case of Belgium (2017) Electronic Journal of E-Government, 15 (2), pp. 103-115;\nArendsen, R., Peters, O., ter Hedde, M., van Dijk, J., Does e-government reduce the administrative burden of businesses? An assessment of business-to-government systems usage in the Netherlands (2014) Government Information Quarterly, 31 (1), pp. 160-169. , https://doi.org/10.1016/j.giq.2013.09.002;\nArendsen, R., Ter Hedde, M. J., On the origin of intermediary e-government services (2009) Lecture Notes in Computer Science (Including Subseries Lecture Notes in Artificial Intelligence and Lecture Notes in Bioinformatics), 5693, pp. 270-281. , https://doi.org/10.1007/978-3-642-03516-6_23, LNCS;\nArendsen, R., Van De Wijngaert, L., Government as a launching customer for eInvoicing (2011) Lecture Notes in Computer Science (Including Subseries Lecture Notes in Artificial Intelligence and Lecture Notes in Bioinformatics), 6846, pp. 122-133. , https://doi.org/10.1007/978-3-642-22878-0_11, LNCS;\nArendsen, R., van Engers, T. M., Reduction of the Administrative Burden: An e-Government Perspective (2004) Electronic Government: Proceedings of the 3rd IFIP WG 8.5 International Conference, EGOV 2004, 3183, pp. 200-206. , http://www.springerlink.com/openurl.asp?genre=article&amp;amp;id=BHJ6V5EJU1DW8P1D, R. Traunmüller (Ed), –);\nArendsen, R., Van Engers, T. M., Schurink, W., Adoption of high impact governmental eServ-ices: Seduce or enforce? (2008) Lecture Notes in Computer Science, 5184, pp. 73-84. , https://doi.org/10.1007/978-3-540-85204-9;\nArendsen, R., Van Engers, T. M., Velde, R., An Empirical Study on Business-to-Government Data Exchange Strategies to Reduce the Administrative Costs for Businesses (2006) Project E-Society: Building Bricks. IFIP International Federation for Information Processing, pp. 311-323. , R. Suomi, R. Cabral, J. F. Ham-pe, A. Heikkilä, J. Järveläinen, &amp;amp; E. Koskivaara (Eds), –). Springer, Boston, MA;\nBansal, V., Shukla, S., Exploring Big Data Analytics Adoption using Affordance Theory (2021) Proceedings of the 23rd International Conference on Enterprise Information System, 2, pp. 131-138. , https://doi.org/10.5220/0010509801310138, ICEIS;\nBharosa, N., Hietbrink, F., Mosterd, L., Van Oosterhout, R., Steering the adoption of Standard Business Reporting for cross domain information exchange (2018) ACM International Conference Proceeding Se-ries, , https://doi.org/10.1145/3209281.3209325;\nBrown, S., Saxena, D., Wall, P. J., The role of information and communications technology in ref-ugee entrepreneurship: A critical realist case study (2021) The Electronic Journal of Information Systems in Developing Countries, pp. 1-20. , https://doi.org/10.1002/isd2.12195, December 2020;\nBygstad, B., Munkvold, B. E., In search of mechanisms. Conducting a critical realist data analy-sis (2011) International Conference on Information Systems 2011, ICIS 2011, 3, pp. 1978-1992;\nChwelos, P., Benbasat, I., Dexter, A. S., Research Report: Empirical Test of an EDI Adoption Model (2001) Information Systems Research, 12 (3), pp. 304-321. , https://doi.org/10.1287/isre.12.3.304.9708;\nDavis, F. D., Perceived Usefulness, Perceived Ease Of Use, and User Acceptance of Information Technology (1989) MIS Quarterly, 13 (3), pp. 319-339. , https://doi.org/10.2307/249008;\nDeLone, W. H., McLean, E. R., Information systems success: the quest for the dependent varia-ble (1992) Information Systems Research, 3 (1), pp. 60-95;\nDeLone, W. H., McLean, E. R., The DeLone and McLean Model of Information Systems Success: A Ten-Year Update (2003) Journal of Management Information Systems, 19 (4), pp. 9-30. , https://doi.org/10.1080/07421222.2003.11045748;\nDistel, B., Ogonek, N., To Adopt or not to Adopt: A Literature Review on Barriers to Citizen’s Adoption of e-Government Services (2016) Twenty-Fourth European Conference on Information Systems (ECIS);\nDwivedi, Y., Rana, N. P., Janssen, M., Lal, B., Williams, M. D., Clement, M., An empirical valida-tion of a unified model of electronic government adoption (UMEGA) (2017) Government Information Quarterly, 34 (2), pp. 211-230. , https://doi.org/10.1016/j.giq.2017.03.001;\nEggers, W. D., Bellman, J., (2015) The journey to government’s digital transformation – A Deloitte Digital global survey;\nFaraj, S., Azad, B., The Materiality of Technology: An Affordance Perspective (2012) Material-ity and organizing: Social interaction in a technological world, pp. 237-258. , https://doi.org/10.1093/acprof, P. M. Leonardi, B. A. Nardi, &amp;amp; J. Kallinikos (Eds), –). Oxford University Press;\nGoodhue, D., Thompson, R., Task-Technology Fit and Individual Performance (1995) MIS Quarterly, 19 (2), pp. 213-236. , https://doi.org/10.2307/249689;\nGunasekaran, A., McGaughey, R. E., Ngai, E. W. T., Rai, B. K., E-Procurement adoption in the Southcoast SMEs (2009) International Journal of Production Economics, 122 (1), pp. 161-175. , https://doi.org/10.1016/j.ijpe.2009.05.013;\nHaag, S., Born, F., Kreuzer, S., Bernius, S., Organizational resistance to e-invoicing-results from an empirical investigation among smes (2013) Lecture Notes in Computer Science (Including Subseries Lecture Notes in Artificial Intelligence and Lecture Notes in Bioinformatics), 8074, pp. 286-297. , https://doi.org/10.1007/978-3-642-40358-3-24, LNCS;\nHofmann, S., Räckers, M., Becker, J., Identifying factors of e-Government acceptance-A literature review (2012) International Conference on Information Systems;\nHung, S.-Y., Chang, C.-M., Chen, K., Tang, K.-Z., Chou, C.-H., Buyer acceptance of g2b e-government services (2012) ACM SIGMIS Database: The DATABASE for Advances in Information Systems, 42 (4), pp. 81-97. , https://doi.org/10.1145/2096140.2096146;\nJansen, J., Wijngaert, L., Pieterson, W., Channel choice and source choice of entrepreneurs in a public organizational context: the dutch case (2010) Electronic Government: Proceedings of the 9th IFIP WG 8.5 International Conference, EGOV 2010, 6228, pp. 144-155. , van de M. A. Wimmer, J.-L. Chappelet, M. Janssen, &amp;amp; H. J. Scholl (Eds), –);\nKassim, E. S., Hussin, H., An Integrative Approach to Inter-Organizational System Implementation and Evaluation: the Case of Government-to-Business (2010) Communications of the IBIMA, 2010. , https://doi.org/10.5171/2010.694811;\nKindel, K., Ritso, V., Venesaar, U., Business satisfaction with E-government services in Baltic sea region (2014) Frontiers in Artificial Intelligence and Applications, Databases, pp. 217-230. , https://doi.org/10.3233/978-1-61499-458-9-217;\nLampoltshammer, T. J., Zhu, Q., Parycek, P., Affective effect: Issue engagement on a youth e-participation platform (2019) EJournal of EDemocracy and Open Government, 11 (1), pp. 37-58. , https://doi.org/10.29379/jedem.v11i1.558;\nLee, J., Kim, H. J., Ahn, M. J., The willingness of e-Government service adoption by business us-ers: The role of offline service quality and trust in technology (2011) Government Information Quarterly, 28 (2), pp. 222-230. , http://www.sciencedirect.com/science/article/pii/S0740624X10001346;\nLeonardi, Paul M., When flexible routines meet flexible technologies: Affordance, constraint, and the imbrication of human and material agencies (2011) MIS Quarterly: Management Information Systems, 35 (1), pp. 147-167. , https://doi.org/10.2307/23043493;\nLian, J. W., Critical factors for cloud based e-invoice service adoption in Taiwan: An empirical study (2015) International Journal of Information Management, 35 (1), pp. 98-109. , https://doi.org/10.1016/j.ijinfomgt.2014.10.005;\nMacDonald, C., (2017) Digital transformation and the public sector, , http://www.oecd.org/gov/digital-government/digital-transformation-and-the-public-sector.htm, Organisation for Eco-nomic Co-operation and Development;\nMadsen, C. Ø., Kræmmergaard, P., Channel Choice: A Literature review (2015) EGOV 2015. Lecture Notes in Computer Science, , https://doi.org/10.1007/978-3-319-22479-4;\nMadsen, C. Ø., Kræmmergaard, P., Warm Experts in the Age of Mandatory e-Government: Interaction Among Danish Single Parents Regarding Online Application for Public Benefits (2016) Electronic Journal of E-Government, 14 (1), pp. 87-98;\nMbeche, E. M., Okeyo, G., Kimwele, M., Critical Success Factors Influencing Adoption and Use of E-government Services by SMEs in the Manufacturing Sector in Kenya (2017) International Advanced Research Journal in Science, Engineering and Technology, 4 (6), pp. 16-24. , https://doi.org/10.17148/iarjset.2017.4604;\nMergel, I., Kattel, R., Lember, V., McBride, K., Citizen-oriented digital transformation in the public sector (2018) Proceedings of the 19th Annual International Conference on Digi-Tal Government Research: Governance in the Data Age, pp. 1-3;\nMohd Nawi, M. N., Roslan, S., Salleh, N. A., Zulhumadi, F., Harun, A. N., The benefits and challenges of E-procurement implementation: A case study of Malaysian company (2016) International Journal of Economics and Financial Issues, 6, pp. 329-332. , (7Special Issue);\nNaggi, R., Agostini, P. L., Inter-organizational e-Services from a SME Perspective: A Case Study on e-Invoicing (2011) Information Technology and Innovation Trends in Organizations, , https://doi.org/10.1007/978-3-7908-2632-6;\nNguyen, H. T., Dang, T. V., Van Nguyen, V., Nguyen, T. T., Determinants of e-government service adoption: an empirical study for business registration in Southeast Vietnam (2020) Journal of Asian Public Policy, pp. 1-16. , https://doi.org/10.1080/17516234.2020.1805396;\nNunes, S., Martins, J., Branco, F., Goncalves, R., Au-Yong-Oliveira, M., An initial approach to e-government acceptance and use: A literature analysis of e-Government acceptance determinants (2017) Iberian Conference on Information Systems and Technologies, CISTI, , https://doi.org/10.23919/CISTI.2017.7976044;\nOlaleye, S. A., Sanusi, I. T., Companies Resistance and Intention to use Electronic Invoicing in Nigeria (2017) 2017 14th IEEE India Council International Conference (INDICON), , https://doi.org/10.1109/INDICON.2017.8487863;\nPettigrew, A. M., What is a processual analysis? (1997) Pergamon, 13 (4), pp. 337-348;\nPiehler, R., Wirtz, B. W., Daiser, P., An Analysis of Continuity Intentions of eGovernment Portal Users (2016) Public Management Review, 18 (2), pp. 163-198. , https://doi.org/10.1080/14719037.2014.965270;\nPinem, A. A., Immanuella, I. M., Hidayanto, A. N., Phusavat, K., Meyliana, Trust and its impact towards continuance of use in government-to-business online service (2018) Transforming Government: People, Process and Policy, 12 (3–4), pp. 265-285. , https://doi.org/10.1108/TG-02-2018-0008;\nRammea, L., Grobbelaar, S. S., The Evaluation of e-Government Implementation (2017) IEEE Africon 2017 Proceedings;\nReddick, C. G., Roy, J., Business perceptions and satisfaction with e-government: Findings from a Canadian survey (2013) Government Information Quarterly, 30 (1), pp. 1-9. , https://doi.org/10.1016/j.giq.2012.06.009;\nRiyadh, H. A., Alfaiza, S. A., Sultan, A. A., The effects of technology, organisational, behavioural factors towards utilization of egovernment adoption model by moderating cultural factors (2019) Journal of Theo-retical and Applied Information Technology, 97 (8), pp. 2142-2165;\nRogers, E. M., (1995) Diffusion of innovations (3rd Editio), , Free Press;\nRuvalcaba-Gomez, E. A., Open government and citizen participation: Perceptions between civil society organizations and government (2019) EJournal of EDemocracy and Open Government, 11 (2), pp. 1-13. , https://doi.org/10.29379/jedem.v11i2.539;\nSambasivan, M., Wemyss, G. P., Rose, R. C., User acceptance of a G2B system: A case of electronic procurement system in Malaysia (2010) Internet Research, 20 (2), pp. 169-187. , https://doi.org/10.1108/10662241011032236;\nSanta, R., MacDonald, J. B., Ferrer, M., The role of trust in e-Government effectiveness, opera-tional effectiveness and user satisfaction: Lessons from Saudi Arabia in e-G2B (2019) Government Information Quarterly, 36 (1), pp. 39-50. , https://doi.org/10.1016/j.giq.2018.10.007;\nSaunders, M. N. K., Lewis, P., Thornhill, A., (2019) Research Methods for Business Students, , (8th ed). Pearson;\nSaxena, D., The Search for Mechanisms in Business Research: Reflections on Retroductive Analysis in a Multilevel Critical Realist Case Study (2019) Electronic Journal of Business Research Methods, 17 (1), pp. 17-27;\nSaxena, D., Mcdonagh, J., A systematic literature review of the enterprise systems research in leading IS journals(2000-2015) (2017) Proceedings of the Twelfth Midwest Association for Information Systems Conference, , https://www.researchgate.net/publication/318116965, Springfield, Illinois May 18-19, September, 7;\nSaxena, D., Mcdonagh, J., Yet Another “List” of Critical Success “Factors” for Enterprise Sys-tems: Review of Empirical Evidence and Suggested Research Directions (2017) UKAIS: 22nd Annual Conference: Ubiquitous Information Systems: Surviving and Thriving in a Connected Society, , https://aisel.aisnet.org/ukais2017/66;\nSayer, A., (2010) Method in social science: A realist approach, , (2nd ed). Routledge;\nScholta, H., Halsbenning, S., Distel, B., Becker, J., Walking a Mile in Their Shoes—A Citizen Journey to Explore Public Service Delivery from the Citizen Perspective (2020) Electronic Government: 19th IFIP WG 8.5 International Conference, Proceedings, pp. 164-178;\nSeo, D. B., Tan, C. W., Warman, G., Vendor satisfaction of E-government procurement systems in developing countries: an empirical research in Indonesia (2018) Information Technology for Development, 24 (3), pp. 554-581. , https://doi.org/10.1080/02681102.2018.1454878;\nShao, B., Luo, X., Liao, Q., Factors influencing e-tax filing adoption intention by business users in China (2015) Electronic Government, an International Journal, 11 (4), pp. 283-305. , https://doi.org/10.1504/EG.2015.071408, (Robert);\nSoong, K. K., Ahmed, E. M., Tan, K. S., Factors influencing Malaysian small and medium enterprises adoption of electronic government procurement (2020) Journal of Public Procurement, 20 (1), pp. 38-61. , https://doi.org/10.1108/JOPP-09-2019-0066;\nTeerling, M. L., Pieterson, W., How to improve e-government use: An empirical examination of multichannel marketing instruments (2011) Information Polity: The International Journal of Government &amp;amp; Democracy in the Information Age, 16 (2), pp. 171-187. , https://doi.org/10.3233/IP-2011-0213;\nThi, L., Lim, H., Al-Zoubi, M. I., Estimating influence of TOE factors on E-Government usage: Evidence of Jordanian companies (2014) International Journal of Business and Society, 15 (3), pp. 413-436;\nTung, L. L., Rieck, O., Adoption of electronic government services among business organizations in Singapore (2005) The Journal of Strategic Information Systems, 14 (4), pp. 417-440. , https://doi.org/10.1016/j.jsis.2005.06.001;\nUlman, M., Jarolímek, J., Vasilenko, A., Kánská, E., The evaluation of use and quality of public e-services among enterprises (2012) Agris On-Line Papers in Economics and Informatics, 4 (2), pp. 61-72;\nUrciuoli, L., Hintsa, J., Ahokas, J., Drivers and barriers affecting usage of e-Customs-A global survey with customs administrations using multivariate analysis techniques (2013) Government Information Quarterly, 30 (4), pp. 473-485. , https://doi.org/10.1016/j.giq.2013.06.001;\nvan den Boer, Y., Arendsen, R., Pieterson, W., In search of information: Investigating source and channel choices in business-to-government service interactions (2016) Government Information Quarterly, 33 (1), pp. 40-52. , https://doi.org/10.1016/j.giq.2015.11.010;\nvan den Boer, Y., Pieterson, W., Arendsen, R., Channel Choice in the G2B Context: Towards a Research Agenda (2011) IFIP International Federation for Information Processing, pp. 14-27. , https://doi.org/10.1007/978-3-642-27260-8_2;\nvan den Boer, Y., Pieterson, W., Arendsen, R., De Groot, M., Source and Channel Choices in Business-to-Government Service Interactions: A Vignette Study (2014) IFIP International Federation for Information Processing 2014, 8653, pp. 120-132. , https://doi.org/10.1007/978-3-662-44426-9, LNCS;\nvan den Boer, Y., Pieterson, W., Arendsen, R., van Dijk, J., Towards a model of source and channel choices in business-to-government service interactions: A structural equation modeling approach (2017) Government Information Quarterly, 34 (3), pp. 434-456. , https://doi.org/10.1016/j.giq.2017.07.002;\nvan den Boer, Y., van de Wijngaert, L., Pieterson, W., Arendsen, R., On the interaction of source and channel choice in the government-to-business context (2012) Lecture Notes in Computer Science (Including Subseries Lecture Notes in Artificial Intelligence and Lecture Notes in Bioinformatics), 7443, pp. 27-39. , https://doi.org/10.1007/978-3-642-33489-4_3, LNCS;\nVejačka, M., Acceptance of e-government services by business users: The case of Slovakia (2018) Journal of Applied Economic Sciences, 13 (5), pp. 1409-1417;\nWebster, J., Watson, R. T., Analyzing the Past to Prepare for the Future: Writing a Literature Re-view (2002) MIS Quarterly, 26 (2), pp. xiii-xxiii. , https://doi.org/10.1.1.104.6570;\nZammuto, R. F., Griffith, T. L., Majchrzak, A., Dougherty, D. J., Faraj, S., Information technology and the changing fabric of organization (2007) Organization Science, 18 (5), pp. 749-762. , https://doi.org/10.1287/orsc.1070.0307","page":"154-183","publisher":"Department for E-Governance and Administration","publisher-place":"Faculty of Engineering, Universidad Nacional de Colombia, Colombia","title":"Mechanisms underpinning the usage of e-government services by businesses: A proposal based on previous empirical research","type":"article-journal","volume":"13"},"uris":["http://www.mendeley.com/documents/?uuid=6ea32fc8-0d65-4f0b-840b-0d6bc94cd5c0"]}],"mendeley":{"formattedCitation":"(Correa-Ospina et al., 2021)","plainTextFormattedCitation":"(Correa-Ospina et al., 2021)","previouslyFormattedCitation":"(Correa-Ospina et al., 2021)"},"properties":{"noteIndex":0},"schema":"https://github.com/citation-style-language/schema/raw/master/csl-citation.json"}</w:instrText>
      </w:r>
      <w:r w:rsidR="00617AD3" w:rsidRPr="00D81F5F">
        <w:rPr>
          <w:sz w:val="24"/>
          <w:szCs w:val="24"/>
        </w:rPr>
        <w:fldChar w:fldCharType="separate"/>
      </w:r>
      <w:r w:rsidR="000E796E" w:rsidRPr="000E796E">
        <w:rPr>
          <w:noProof/>
          <w:sz w:val="24"/>
          <w:szCs w:val="24"/>
        </w:rPr>
        <w:t>(Correa-Ospina et al., 2021)</w:t>
      </w:r>
      <w:r w:rsidR="00617AD3" w:rsidRPr="00D81F5F">
        <w:rPr>
          <w:sz w:val="24"/>
          <w:szCs w:val="24"/>
        </w:rPr>
        <w:fldChar w:fldCharType="end"/>
      </w:r>
      <w:r w:rsidR="000E796E">
        <w:rPr>
          <w:sz w:val="24"/>
          <w:szCs w:val="24"/>
        </w:rPr>
        <w:t>.</w:t>
      </w:r>
      <w:r w:rsidR="00617AD3" w:rsidRPr="00D81F5F">
        <w:rPr>
          <w:sz w:val="24"/>
          <w:szCs w:val="24"/>
        </w:rPr>
        <w:t xml:space="preserve"> There are still significant knowledge gaps in understanding how this transformation can be effectively implemented across different geographical and cultural contexts</w:t>
      </w:r>
      <w:r w:rsidR="00617AD3" w:rsidRPr="00D81F5F">
        <w:rPr>
          <w:sz w:val="24"/>
          <w:szCs w:val="24"/>
        </w:rPr>
        <w:fldChar w:fldCharType="begin" w:fldLock="1"/>
      </w:r>
      <w:r w:rsidR="000E796E">
        <w:rPr>
          <w:sz w:val="24"/>
          <w:szCs w:val="24"/>
        </w:rPr>
        <w:instrText>ADDIN CSL_CITATION {"citationItems":[{"id":"ITEM-1","itemData":{"DOI":"10.5755/j01.ppaa.22.3.35071","ISSN":"20292872","abstract":"The quick development of digitalization has transformed the nature of work and has brought new opportunities for businesses to achieve sustainable human resource management in many ways, including remote working as a means to achieve work-life balance and training access for new skill development. Objective - the objective of this study is to offer a comprehensive understanding of the challenges faced by private and public organizations in Kosovo. This study tries to make a comparison between these two sectors aiming to help public administration policymakers spot the gaps between sectors and improve digitalization in the public sector. Methods: we have conducted a qualitative analysis. 21 interviewed businesses explained in detail the process of digitalization and its effect on achieving work-life balance and new skills development as ways to achieve SHRM. Results: according to the analysis, digitalization is improving both public and private workers’ skills. However, private companies are more likely to use remote work to achieve work-life balance, while in public organisations; digitalization has mostly helped in the training of employees. Conclusions: In general, digitalization has helped businesses achieve SHRM. Despite the fact that, in general, private-sector businesses benefit more from digitalization than public organizations.","author":[{"dropping-particle":"","family":"Bajraliu","given":"Arbnor","non-dropping-particle":"","parse-names":false,"suffix":""},{"dropping-particle":"","family":"Qorraj","given":"Gazmend","non-dropping-particle":"","parse-names":false,"suffix":""}],"container-title":"Public Policy and Administration","id":"ITEM-1","issue":"3","issued":{"date-parts":[["2023"]]},"language":"English","page":"358-369","publisher":"Mykolo Romerio Universitetas","publisher-place":"Loughborough University London, The Broadcast Centre, Institute for International Management, 3 Lesney Avenu, Here East, Stratford, London, E20 3BS, United Kingdom","title":"Digital Transformation’S Impact on Sustainable Hr Management: Comparative Study of Work-Life Balance and Skill Development in Public Versus Private Sectors of a Developing Country","type":"article-journal","volume":"22"},"uris":["http://www.mendeley.com/documents/?uuid=a16aca02-f41a-433d-b435-9cba1e3f9c35"]}],"mendeley":{"formattedCitation":"(Bajraliu &amp; Qorraj, 2023)","plainTextFormattedCitation":"(Bajraliu &amp; Qorraj, 2023)","previouslyFormattedCitation":"(Bajraliu &amp; Qorraj, 2023)"},"properties":{"noteIndex":0},"schema":"https://github.com/citation-style-language/schema/raw/master/csl-citation.json"}</w:instrText>
      </w:r>
      <w:r w:rsidR="00617AD3" w:rsidRPr="00D81F5F">
        <w:rPr>
          <w:sz w:val="24"/>
          <w:szCs w:val="24"/>
        </w:rPr>
        <w:fldChar w:fldCharType="separate"/>
      </w:r>
      <w:r w:rsidR="000E796E" w:rsidRPr="000E796E">
        <w:rPr>
          <w:noProof/>
          <w:sz w:val="24"/>
          <w:szCs w:val="24"/>
        </w:rPr>
        <w:t>(Bajraliu &amp; Qorraj, 2023)</w:t>
      </w:r>
      <w:r w:rsidR="00617AD3" w:rsidRPr="00D81F5F">
        <w:rPr>
          <w:sz w:val="24"/>
          <w:szCs w:val="24"/>
        </w:rPr>
        <w:fldChar w:fldCharType="end"/>
      </w:r>
      <w:r w:rsidR="000E796E">
        <w:rPr>
          <w:sz w:val="24"/>
          <w:szCs w:val="24"/>
        </w:rPr>
        <w:t>.</w:t>
      </w:r>
      <w:r w:rsidR="00617AD3" w:rsidRPr="00D81F5F">
        <w:rPr>
          <w:sz w:val="24"/>
          <w:szCs w:val="24"/>
        </w:rPr>
        <w:t xml:space="preserve"> For example, while the implementation of </w:t>
      </w:r>
      <w:proofErr w:type="spellStart"/>
      <w:r w:rsidR="00617AD3" w:rsidRPr="00D81F5F">
        <w:rPr>
          <w:sz w:val="24"/>
          <w:szCs w:val="24"/>
        </w:rPr>
        <w:t>GovTech</w:t>
      </w:r>
      <w:proofErr w:type="spellEnd"/>
      <w:r w:rsidR="00617AD3" w:rsidRPr="00D81F5F">
        <w:rPr>
          <w:sz w:val="24"/>
          <w:szCs w:val="24"/>
        </w:rPr>
        <w:t xml:space="preserve"> has helped improve transparency and accountability, there are still major challenges in terms of technological infrastructure and resistance to change, especially in remote areas and among older generations</w:t>
      </w:r>
      <w:r w:rsidR="00617AD3" w:rsidRPr="00D81F5F">
        <w:rPr>
          <w:sz w:val="24"/>
          <w:szCs w:val="24"/>
        </w:rPr>
        <w:fldChar w:fldCharType="begin" w:fldLock="1"/>
      </w:r>
      <w:r w:rsidR="000E796E">
        <w:rPr>
          <w:sz w:val="24"/>
          <w:szCs w:val="24"/>
        </w:rPr>
        <w:instrText>ADDIN CSL_CITATION {"citationItems":[{"id":"ITEM-1","itemData":{"DOI":"10.1145/3609802","ISSN":"26390175","abstract":"The digital transformation era calls for digital innovations affecting the public sector, but such organizations often focus more on the efficiency and exploitation of current resources, ascribing less attention to explorative innovation. Innovation in new capabilities and technologies often require inter-organizational collaboration. In this context, public sector organizations do not operate in isolation—often engaging in interactions within their service sectors. While the contemporary literature on organizational ambidexterity primarily focuses on the balancing opportunities of a focal organization, radical sector-level development requires collaboration among various actors to achieve collective ambidexterity. Drawing on the research question of the influence of inter-organizational collaboration on the outcomes of digital initiatives, this exploratory case study on the Finnish water sector found that simultaneously operating modes of inter-organizational collaboration can facilitate different aspects of collective ambidexterity in an inter-organizational field and, consequently, the expected benefits from initiatives. Our theoretical contribution lies in demonstrating collaboration modes that can enhance specific aspects of collective ambidexterity. Accordingly, we suggest that collective ambidexterity through deliberately adopted modes of inter-organizational collaboration requires field-level facilitation in parallel with organizational ambidexterity. Furthermore, consequent practical implications for managing such collaborations are suggest</w:instrText>
      </w:r>
      <w:r w:rsidR="000E796E" w:rsidRPr="008D0DEC">
        <w:rPr>
          <w:sz w:val="24"/>
          <w:szCs w:val="24"/>
          <w:lang w:val="pt-BR"/>
        </w:rPr>
        <w:instrText>ed for policymakers, interest groups, and the public sector.","author":[{"dropping-particle":"","family":"Hietala","given":"Heidi","non-dropping-particle":"","parse-names":false,"suffix":""},{"dropping-particle":"","family":"Päivärinta","given":"Tero","non-dropping-particle":"","parse-names":false,"suffix":""},{"dropping-particle":"","family":"Annanperä","given":"Elina","non-dropping-particle":"","parse-names":false,"suffix":""},{"dropping-particle":"","family":"Taskinen","given":"Pirkko","non-dropping-particle":"","parse-names":false,"suffix":""},{"dropping-particle":"","family":"Liukkunen","given":"Kari","non-dropping-particle":"","parse-names":false,"suffix":""}],"container-title":"Digital Government: Research and Practice","id":"ITEM-1","issue":"4","issued":{"date-parts":[["2023"]]},"language":"English","publisher":"Association for Computing Machinery","publisher-place":"M3S, University of Oulu, Finland","title":"Toward Collective Ambidexterity in Public Sector Digital Initiatives: A Case of the Finnish Water Sector","type":"article-journal","volume":"4"},"uris":["http://www.mendeley.com/documents/?uuid=b0013a93-0d5d-49d4-9468-03b83b0a2719"]}],"mendeley":{"formattedCitation":"(Hietala et al., 2023)","manualFormatting":" (Hietala et al., 2023; ","plainTextFormattedCitation":"(Hietala et al., 2023)","previouslyFormattedCitation":"(Hietala et al., 2023)"},"properties":{"noteIndex":0},"schema":"https://github.com/citation-style-language/schema/raw/master/csl-citation.json"}</w:instrText>
      </w:r>
      <w:r w:rsidR="00617AD3" w:rsidRPr="00D81F5F">
        <w:rPr>
          <w:sz w:val="24"/>
          <w:szCs w:val="24"/>
        </w:rPr>
        <w:fldChar w:fldCharType="separate"/>
      </w:r>
      <w:r w:rsidR="00617AD3" w:rsidRPr="008D0DEC">
        <w:rPr>
          <w:noProof/>
          <w:sz w:val="24"/>
          <w:szCs w:val="24"/>
          <w:lang w:val="pt-BR"/>
        </w:rPr>
        <w:t xml:space="preserve"> </w:t>
      </w:r>
      <w:r w:rsidR="00617AD3" w:rsidRPr="000E796E">
        <w:rPr>
          <w:noProof/>
          <w:sz w:val="24"/>
          <w:szCs w:val="24"/>
          <w:lang w:val="pt-BR"/>
        </w:rPr>
        <w:t>(Hietala et al., 2023</w:t>
      </w:r>
      <w:r w:rsidR="001644D9" w:rsidRPr="000E796E">
        <w:rPr>
          <w:noProof/>
          <w:sz w:val="24"/>
          <w:szCs w:val="24"/>
          <w:lang w:val="pt-BR"/>
        </w:rPr>
        <w:t xml:space="preserve">; </w:t>
      </w:r>
      <w:r w:rsidR="00617AD3" w:rsidRPr="00D81F5F">
        <w:rPr>
          <w:sz w:val="24"/>
          <w:szCs w:val="24"/>
        </w:rPr>
        <w:fldChar w:fldCharType="end"/>
      </w:r>
      <w:r w:rsidR="001644D9">
        <w:rPr>
          <w:sz w:val="24"/>
          <w:szCs w:val="24"/>
        </w:rPr>
        <w:fldChar w:fldCharType="begin" w:fldLock="1"/>
      </w:r>
      <w:r w:rsidR="000E796E">
        <w:rPr>
          <w:sz w:val="24"/>
          <w:szCs w:val="24"/>
          <w:lang w:val="pt-BR"/>
        </w:rPr>
        <w:instrText>ADDIN CSL_CITATION {"citationItems":[{"id":"ITEM-1","itemData":{"DOI":"10.17645/up.7262","ISSN":"21837635","abstract":"This article examines how digital platforms focused on citizen engagement affect urban transformation based on multiple case studies from Bengaluru, India. The research question is: What type of initiatives and designs of digital citizen platforms enable co‐production? Co‐production is defined as the use of assets and resources between the public sector and citizens to produce better outcomes and improve the efficiency of urban services. The study uses qualitative and quantitative approaches. Evaluative metrics of citizen engagement in digital platforms are done at two levels: platform metrics and initiative metrics. Each platform is evaluated under several variables that indicate the type of ownership, period of operation, aims and types of initiatives, and impact and levels of engagement. Then, the digital platforms are mapped for the extent of digital co‐production that matches the type of digital interaction with a form of citizen–government relationship. The findings indicate that the orientation of digital co‐production, where it exists, seems to be around the dimensions of co‐testing and co‐evaluation rather than co‐design and co‐financing. Furthermore, the digital platforms under study primarily view citizens as users rather than collaborators, limiting the scope of digital co‐production. The involvement of urban local governments and private partners in a single platform strengthens the degree of citizen engagement, including the scope for co‐production. Finally, there is a strong offline counterpart to citizen engagement through digital platforms where true co‐production exists.","author":[{"dropping-particle":"","family":"Iyer","given":"Deepa Kylasam","non-dropping-particle":"","parse-names":false,"suffix":""},{"dropping-particle":"","family":"Kuriakose","given":"Francis","non-dropping-particle":"","parse-names":false,"suffix":""}],"container-title":"Urban Planning","id":"ITEM-1","issued":{"date-parts":[["2024"]]},"language":"English","publisher":"Cogitatio Press","publisher-place":"School of Industrial and Labor Relations, Cornell University, United States","title":"Digital Platforms as (Dis)Enablers of Urban Co‐Production: Evidence From Bengaluru, India","type":"article-journal","volume":"9"},"uris":["http://www.mendeley.com/documents/?uuid=a63f4ef7-d9fc-4ecc-9db1-a8cbdd47fdbb"]}],"mendeley":{"formattedCitation":"(Iyer &amp; Kuriakose, 2024)","manualFormatting":" Iyer &amp; Kuriakose, 2024)","plainTextFormattedCitation":"(Iyer &amp; Kuriakose, 2024)","previouslyFormattedCitation":"(Iyer &amp; Kuriakose, 2024)"},"properties":{"noteIndex":0},"schema":"https://github.com/citation-style-language/schema/raw/master/csl-citation.json"}</w:instrText>
      </w:r>
      <w:r w:rsidR="001644D9">
        <w:rPr>
          <w:sz w:val="24"/>
          <w:szCs w:val="24"/>
        </w:rPr>
        <w:fldChar w:fldCharType="separate"/>
      </w:r>
      <w:r w:rsidR="001644D9" w:rsidRPr="000E796E">
        <w:rPr>
          <w:noProof/>
          <w:sz w:val="24"/>
          <w:szCs w:val="24"/>
          <w:lang w:val="pt-BR"/>
        </w:rPr>
        <w:t xml:space="preserve"> Iyer &amp; Kuriakose, 2024)</w:t>
      </w:r>
      <w:r w:rsidR="001644D9">
        <w:rPr>
          <w:sz w:val="24"/>
          <w:szCs w:val="24"/>
        </w:rPr>
        <w:fldChar w:fldCharType="end"/>
      </w:r>
      <w:r w:rsidR="000E796E">
        <w:rPr>
          <w:sz w:val="24"/>
          <w:szCs w:val="24"/>
          <w:lang w:val="pt-BR"/>
        </w:rPr>
        <w:t>.</w:t>
      </w:r>
      <w:r w:rsidR="00617AD3" w:rsidRPr="000E796E">
        <w:rPr>
          <w:sz w:val="24"/>
          <w:szCs w:val="24"/>
          <w:lang w:val="pt-BR"/>
        </w:rPr>
        <w:t xml:space="preserve"> </w:t>
      </w:r>
      <w:r w:rsidR="00617AD3" w:rsidRPr="008D0DEC">
        <w:rPr>
          <w:sz w:val="24"/>
          <w:szCs w:val="24"/>
          <w:lang w:val="pt-BR"/>
        </w:rPr>
        <w:t xml:space="preserve">This research identifies areas where existing knowledge is limited, such as understanding the long-term impact of digital technology adoption in public governance, as well as how policies can be designed to address the digital divide between urban and rural areas. </w:t>
      </w:r>
      <w:r w:rsidR="00617AD3" w:rsidRPr="00D81F5F">
        <w:rPr>
          <w:sz w:val="24"/>
          <w:szCs w:val="24"/>
        </w:rPr>
        <w:t>These gaps are critical to fill in order for digital transformation to become not only a trend but also a sustainable solution in improving the effectiveness and efficiency of public services</w:t>
      </w:r>
      <w:r w:rsidR="000E796E">
        <w:rPr>
          <w:sz w:val="24"/>
          <w:szCs w:val="24"/>
        </w:rPr>
        <w:t xml:space="preserve"> </w:t>
      </w:r>
      <w:r w:rsidR="00617AD3" w:rsidRPr="00D81F5F">
        <w:rPr>
          <w:sz w:val="24"/>
          <w:szCs w:val="24"/>
        </w:rPr>
        <w:fldChar w:fldCharType="begin" w:fldLock="1"/>
      </w:r>
      <w:r w:rsidR="000E796E">
        <w:rPr>
          <w:sz w:val="24"/>
          <w:szCs w:val="24"/>
        </w:rPr>
        <w:instrText>ADDIN CSL_CITATION {"citationItems":[{"id":"ITEM-1","itemData":{"DOI":"10.36941/ajis-2022-0154","ISSN":"22814612","abstract":"This empirical paper seeks to address the challenges related to digital public administration and e governance at the South African Local government during the time of Covid 19 pandemic which affected the global village. The world is moving from manual way of doing things to technological ways of delivering services which is digital public administration. However, in the process of implementing digital public administration, there are consequences which the society at large is likely to experience more especially the poor people in the rural villages of South Africa. Digital transformation of public administrations is a way of trying to fasten the service delivery, and make the services cheaper and better, and save time. E-government improves efficiency and increases user-friendliness and accessibility. It also helps promote ethical practices and reduce the risks of corruption in the public sector. Effective e government is so critical in public administration today because majority of the people are using technology to access some of the services, although the poor are still struggling.","author":[{"dropping-particle":"","family":"Galushi","given":"Lesedi Tracey","non-dropping-particle":"","parse-names":false,"suffix":""},{"dropping-particle":"","family":"Malatji","given":"Thabiso Lucky","non-dropping-particle":"","parse-names":false,"suffix":""}],"container-title":"Academic Journal of Interdisciplinary Studies","id":"ITEM-1","issue":"6","issued":{"date-parts":[["2022"]]},"language":"English","page":"116-126","publisher":"Richtmann Publishing Ltd","publisher-place":"University of Limpopo, Polokwane, 0727, South Africa","title":"Digital Public Administration and Inclusive Governance at the South African Local Government, in Depth Analysis of E-Government and Service Delivery in Musina Local Municipality","type":"article-journal","volume":"11"},"uris":["http://www.mendeley.com/documents/?uuid=ba5baca7-1254-4c64-bbd3-8609d2385efd"]}],"mendeley":{"formattedCitation":"(Galushi &amp; Malatji, 2022)","plainTextFormattedCitation":"(Galushi &amp; Malatji, 2022)","previouslyFormattedCitation":"(Galushi &amp; Malatji, 2022)"},"properties":{"noteIndex":0},"schema":"https://github.com/citation-style-language/schema/raw/master/csl-citation.json"}</w:instrText>
      </w:r>
      <w:r w:rsidR="00617AD3" w:rsidRPr="00D81F5F">
        <w:rPr>
          <w:sz w:val="24"/>
          <w:szCs w:val="24"/>
        </w:rPr>
        <w:fldChar w:fldCharType="separate"/>
      </w:r>
      <w:r w:rsidR="000E796E" w:rsidRPr="000E796E">
        <w:rPr>
          <w:noProof/>
          <w:sz w:val="24"/>
          <w:szCs w:val="24"/>
        </w:rPr>
        <w:t>(Galushi &amp; Malatji, 2022)</w:t>
      </w:r>
      <w:r w:rsidR="00617AD3" w:rsidRPr="00D81F5F">
        <w:rPr>
          <w:sz w:val="24"/>
          <w:szCs w:val="24"/>
        </w:rPr>
        <w:fldChar w:fldCharType="end"/>
      </w:r>
    </w:p>
    <w:p w14:paraId="3DBE5B8E" w14:textId="4468C493" w:rsidR="008B2319" w:rsidRPr="00D81F5F" w:rsidRDefault="00617AD3" w:rsidP="00CE35A4">
      <w:pPr>
        <w:spacing w:line="360" w:lineRule="auto"/>
        <w:ind w:left="284" w:firstLine="0"/>
        <w:rPr>
          <w:sz w:val="24"/>
          <w:szCs w:val="24"/>
        </w:rPr>
      </w:pPr>
      <w:r w:rsidRPr="00D81F5F">
        <w:rPr>
          <w:sz w:val="24"/>
          <w:szCs w:val="24"/>
        </w:rPr>
        <w:t>A key issue faced in digital transformation in the public sector is the complexity of system integration and interoperability which often complicates successful implementation</w:t>
      </w:r>
      <w:r w:rsidR="000E796E">
        <w:rPr>
          <w:sz w:val="24"/>
          <w:szCs w:val="24"/>
        </w:rPr>
        <w:t xml:space="preserve"> </w:t>
      </w:r>
      <w:r w:rsidRPr="00D81F5F">
        <w:rPr>
          <w:sz w:val="24"/>
          <w:szCs w:val="24"/>
        </w:rPr>
        <w:fldChar w:fldCharType="begin" w:fldLock="1"/>
      </w:r>
      <w:r w:rsidR="000E796E">
        <w:rPr>
          <w:sz w:val="24"/>
          <w:szCs w:val="24"/>
        </w:rPr>
        <w:instrText>ADDIN CSL_CITATION {"citationItems":[{"id":"ITEM-1","itemData":{"DOI":"10.1016/j.giq.2022.101784","ISSN":"0740624X","abstract":"Legacy systems have continued to pose a major challenge to digital transformation efforts in public administration. A comprehensive review of literature suggests seven levels of complexity in transforming legacy systems, including, being a stand-alone system, being part of a larger system, and data incompatibility, each depicting unique criteria and challenges. Nonetheless, very little is known as to what degree these complexities implicate the implementation of digital transformation efforts in public administration (PA). To address this gap, this research conducted an analysis on four cases of digital transformation in three European PA settings (i.e., Denmark, the Netherlands, and the UK). The findings revealed complexities that pose the key challenges to systems interoperability and integrability, which are crucial in any digital transformation project. In addition, a comprehensive understanding of the systems to be transformed, the policies which they are serving, and the broader PA setting in which they are implemented were deemed central to succeeding in digital transformation efforts.","author":[{"dropping-particle":"","family":"Irani","given":"Zahir","non-dropping-particle":"","parse-names":false,"suffix":""},{"dropping-particle":"","family":"Abril","given":"Raul M.","non-dropping-particle":"","parse-names":false,"suffix":""},{"dropping-particle":"","family":"Weerakkody","given":"Vishanth","non-dropping-particle":"","parse-names":false,"suffix":""},{"dropping-particle":"","family":"Omar","given":"Amizan","non-dropping-particle":"","parse-names":false,"suffix":""},{"dropping-particle":"","family":"Sivarajah","given":"Uthayasankar","non-dropping-particle":"","parse-names":false,"suffix":""}],"container-title":"Government Information Quarterly","id":"ITEM-1","issue":"1","issued":{"date-parts":[["2023"]]},"page":"101784","title":"The impact of legacy systems on digital transformation in European public administration: Lesson learned from a multi case analysis","type":"article-journal","volume":"40"},"uris":["http://www.mendeley.com/documents/?uuid=74201429-2563-4de2-bc94-9934559a80dd"]}],"mendeley":{"formattedCitation":"(Irani et al., 2023)","plainTextFormattedCitation":"(Irani et al., 2023)","previouslyFormattedCitation":"(Irani et al., 2023)"},"properties":{"noteIndex":0},"schema":"https://github.com/citation-style-language/schema/raw/master/csl-citation.json"}</w:instrText>
      </w:r>
      <w:r w:rsidRPr="00D81F5F">
        <w:rPr>
          <w:sz w:val="24"/>
          <w:szCs w:val="24"/>
        </w:rPr>
        <w:fldChar w:fldCharType="separate"/>
      </w:r>
      <w:r w:rsidR="000E796E" w:rsidRPr="000E796E">
        <w:rPr>
          <w:noProof/>
          <w:sz w:val="24"/>
          <w:szCs w:val="24"/>
        </w:rPr>
        <w:t>(Irani et al., 2023)</w:t>
      </w:r>
      <w:r w:rsidRPr="00D81F5F">
        <w:rPr>
          <w:sz w:val="24"/>
          <w:szCs w:val="24"/>
        </w:rPr>
        <w:fldChar w:fldCharType="end"/>
      </w:r>
      <w:r w:rsidR="000E796E">
        <w:rPr>
          <w:sz w:val="24"/>
          <w:szCs w:val="24"/>
        </w:rPr>
        <w:t>.</w:t>
      </w:r>
      <w:r w:rsidRPr="00D81F5F">
        <w:rPr>
          <w:sz w:val="24"/>
          <w:szCs w:val="24"/>
        </w:rPr>
        <w:t xml:space="preserve"> In addition, resistance to change is not always an inhibiting factor, but rather a deeper issue related to policies and governance that support the digitization process</w:t>
      </w:r>
      <w:r w:rsidRPr="00D81F5F">
        <w:rPr>
          <w:sz w:val="24"/>
          <w:szCs w:val="24"/>
        </w:rPr>
        <w:fldChar w:fldCharType="begin" w:fldLock="1"/>
      </w:r>
      <w:r w:rsidR="000E796E">
        <w:rPr>
          <w:sz w:val="24"/>
          <w:szCs w:val="24"/>
        </w:rPr>
        <w:instrText>ADDIN CSL_CITATION {"citationItems":[{"id":"ITEM-1","itemData":{"DOI":"10.1016/j.ijinfomgt.2021.102356","ISSN":"02684012","abstract":"Digital technologies are transforming the public sector by affecting applications, processes, culture, structure, and civil servants’ responsibilities and tasks. Yet, there is a void in research about driving and impeding factors influencing digital government transformation (DGT). The article contributes to the current debate on DGT by quantitatively assessing the transformation and its driving and impeding factors. The analyses were performed by collecting and analyzing through structural equation modeling 491 answers to a survey to Italian administrations. Results show that DGT is influenced by a combination of different factors, including the sense of urgency, the need for change, and the creation of a collaborative environment, suggesting that more effort is required for including public managers in the current debate on DGT. Organizational barriers and lack of support are impeding factors. Finally and counter-intuitively, resistance to change was not found to impede the transformation.","author":[{"dropping-particle":"","family":"Tangi","given":"Luca","non-dropping-particle":"","parse-names":false,"suffix":""},{"dropping-particle":"","family":"Janssen","given":"Marijn","non-dropping-particle":"","parse-names":false,"suffix":""},{"dropping-particle":"","family":"Benedetti","given":"Michele","non-dropping-particle":"","parse-names":false,"suffix":""},{"dropping-particle":"","family":"Noci","given":"Giuliano","non-dropping-particle":"","parse-names":false,"suffix":""}],"container-title":"International Journal of Information Management","id":"ITEM-1","issue":"September 2020","issued":{"date-parts":[["2021"]]},"page":"102356","publisher":"Elsevier Ltd","title":"Digital government transformation: A structural equation modelling analysis of driving and impeding factors","type":"article-journal","volume":"60"},"uris":["http://www.mendeley.com/documents/?uuid=8318c796-2228-48be-af6a-4b619d607b50"]}],"mendeley":{"formattedCitation":"(Tangi et al., 2021)","manualFormatting":" (Tangi et al., 2021; ","plainTextFormattedCitation":"(Tangi et al., 2021)","previouslyFormattedCitation":"(Tangi et al., 2021)"},"properties":{"noteIndex":0},"schema":"https://github.com/citation-style-language/schema/raw/master/csl-citation.json"}</w:instrText>
      </w:r>
      <w:r w:rsidRPr="00D81F5F">
        <w:rPr>
          <w:sz w:val="24"/>
          <w:szCs w:val="24"/>
        </w:rPr>
        <w:fldChar w:fldCharType="separate"/>
      </w:r>
      <w:r w:rsidRPr="00D81F5F">
        <w:rPr>
          <w:noProof/>
          <w:sz w:val="24"/>
          <w:szCs w:val="24"/>
        </w:rPr>
        <w:t xml:space="preserve"> (Tangi et al., 2021</w:t>
      </w:r>
      <w:r w:rsidR="001644D9">
        <w:rPr>
          <w:noProof/>
          <w:sz w:val="24"/>
          <w:szCs w:val="24"/>
        </w:rPr>
        <w:t xml:space="preserve">; </w:t>
      </w:r>
      <w:r w:rsidRPr="00D81F5F">
        <w:rPr>
          <w:sz w:val="24"/>
          <w:szCs w:val="24"/>
        </w:rPr>
        <w:fldChar w:fldCharType="end"/>
      </w:r>
      <w:r w:rsidR="001644D9">
        <w:rPr>
          <w:sz w:val="24"/>
          <w:szCs w:val="24"/>
        </w:rPr>
        <w:fldChar w:fldCharType="begin" w:fldLock="1"/>
      </w:r>
      <w:r w:rsidR="000E796E">
        <w:rPr>
          <w:sz w:val="24"/>
          <w:szCs w:val="24"/>
        </w:rPr>
        <w:instrText>ADDIN CSL_CITATION {"citationItems":[{"id":"ITEM-1","itemData":{"DOI":"10.3390/socsci13020111","ISSN":"20760760","abstract":"The COVID-19 lockdown has had serious consequences, including rethinking higher education. The study aims to enhance the knowledge base of online education and academic integrity through a case study of the Ludovika University of Public Service (LUPS), Budapest, Hungary. The research aimed to assess the teachers’ experience with distance learning and examinations, including the change in workload, digital competencies, Moodle, Turnitin, and other software used during and after the lockdown. This paper summarizes the university-level policy changes induced during the lockdown, covering the introduction of emergency distance teaching and online examinations in academic integrity at the university. Two years after the first lockdown, the researchers made a survey (n = 145) about the continuation of the introduced solutions. The results show that a remarkable reordering started while the technical and technological backgrounds were available for the changes. The teachers could feel a significant increase in workload with distance education and have low trust in maintaining the standards of academic integrity. However, the research shows moderate and low levels of digital competencies in the majority of teachers, which clearly defines the most crucial task leading to success. Maintaining the monitoring system with objective indicators of the development and the opinions of the interested parties is essential for successful strategies in the field.","author":[{"dropping-particle":"","family":"László","given":"Gábor","non-dropping-particle":"","parse-names":false,"suffix":""},{"dropping-particle":"","family":"Deutsch","given":"Nikolett","non-dropping-particle":"","parse-names":false,"suffix":""},{"dropping-particle":"","family":"Berényi","given":"László","non-dropping-particle":"","parse-names":false,"suffix":""}],"container-title":"Social Sciences","id":"ITEM-1","issue":"2","issued":{"date-parts":[["2024"]]},"title":"Teachers’ Perception of Some Effects of the COVID-19 Lockdown: The Case Study of Ludovika University of Public Service","type":"article-journal","volume":"13"},"uris":["http://www.mendeley.com/documents/?uuid=118afa08-2e77-41dd-8499-9d52f6e11e8c"]}],"mendeley":{"formattedCitation":"(László et al., 2024)","manualFormatting":" László et al., 2024)","plainTextFormattedCitation":"(László et al., 2024)","previouslyFormattedCitation":"(László et al., 2024)"},"properties":{"noteIndex":0},"schema":"https://github.com/citation-style-language/schema/raw/master/csl-citation.json"}</w:instrText>
      </w:r>
      <w:r w:rsidR="001644D9">
        <w:rPr>
          <w:sz w:val="24"/>
          <w:szCs w:val="24"/>
        </w:rPr>
        <w:fldChar w:fldCharType="separate"/>
      </w:r>
      <w:r w:rsidR="001644D9" w:rsidRPr="001644D9">
        <w:rPr>
          <w:noProof/>
          <w:sz w:val="24"/>
          <w:szCs w:val="24"/>
        </w:rPr>
        <w:t xml:space="preserve"> László et al., 2024)</w:t>
      </w:r>
      <w:r w:rsidR="001644D9">
        <w:rPr>
          <w:sz w:val="24"/>
          <w:szCs w:val="24"/>
        </w:rPr>
        <w:fldChar w:fldCharType="end"/>
      </w:r>
      <w:r w:rsidR="000E796E">
        <w:rPr>
          <w:sz w:val="24"/>
          <w:szCs w:val="24"/>
        </w:rPr>
        <w:t>.</w:t>
      </w:r>
      <w:r w:rsidRPr="00D81F5F">
        <w:rPr>
          <w:sz w:val="24"/>
          <w:szCs w:val="24"/>
        </w:rPr>
        <w:t xml:space="preserve"> For example, in the Indonesian context, despite initiatives such as </w:t>
      </w:r>
      <w:proofErr w:type="spellStart"/>
      <w:r w:rsidRPr="00D81F5F">
        <w:rPr>
          <w:sz w:val="24"/>
          <w:szCs w:val="24"/>
        </w:rPr>
        <w:t>Sistem</w:t>
      </w:r>
      <w:proofErr w:type="spellEnd"/>
      <w:r w:rsidRPr="00D81F5F">
        <w:rPr>
          <w:sz w:val="24"/>
          <w:szCs w:val="24"/>
        </w:rPr>
        <w:t xml:space="preserve"> </w:t>
      </w:r>
      <w:proofErr w:type="spellStart"/>
      <w:r w:rsidRPr="00D81F5F">
        <w:rPr>
          <w:sz w:val="24"/>
          <w:szCs w:val="24"/>
        </w:rPr>
        <w:t>Pemerintahan</w:t>
      </w:r>
      <w:proofErr w:type="spellEnd"/>
      <w:r w:rsidRPr="00D81F5F">
        <w:rPr>
          <w:sz w:val="24"/>
          <w:szCs w:val="24"/>
        </w:rPr>
        <w:t xml:space="preserve"> </w:t>
      </w:r>
      <w:proofErr w:type="spellStart"/>
      <w:r w:rsidRPr="00D81F5F">
        <w:rPr>
          <w:sz w:val="24"/>
          <w:szCs w:val="24"/>
        </w:rPr>
        <w:t>Berbasis</w:t>
      </w:r>
      <w:proofErr w:type="spellEnd"/>
      <w:r w:rsidRPr="00D81F5F">
        <w:rPr>
          <w:sz w:val="24"/>
          <w:szCs w:val="24"/>
        </w:rPr>
        <w:t xml:space="preserve"> Elektronik (SPBE), its implementation is still hampered by infrastructure limitations and lack of digital skills among civil servants</w:t>
      </w:r>
      <w:r w:rsidRPr="00D81F5F">
        <w:rPr>
          <w:sz w:val="24"/>
          <w:szCs w:val="24"/>
        </w:rPr>
        <w:fldChar w:fldCharType="begin" w:fldLock="1"/>
      </w:r>
      <w:r w:rsidR="000E796E">
        <w:rPr>
          <w:sz w:val="24"/>
          <w:szCs w:val="24"/>
        </w:rPr>
        <w:instrText>ADDIN CSL_CITATION {"citationItems":[{"id":"ITEM-1","itemData":{"DOI":"10.24818/amp/2022.39-05","ISSN":"25596489","abstract":"Digital transformation is trending pursuant to the almost ubiquitous use of digital technology by private and public sectors, and general populations. The disruption caused by advancing technology requires strategic responses to mitigate the negative aspects of such disruption and generate positive change. Other disruption, moreover, such as the COVID-19 pandemic, additionally imposes limitations on what we consider to be normal life, further engendering the utilization of digital technology. Even though the impact of digital transformation can be assessed by means of different metrics, including the Digital Economy and Society Index (DESI), they do not provide sufficient clarity in terms of pain points and improvement possibilities. The differences in relation to the availability of said technology and the skills necessary for its optimal use, which are closely related to user education level, age, and economic status, are additional parameters governments and policymakers need to consider, and data-driven decision-making is essential to ensure optimal policy-making and investment vis-à-vis digital transformation, such as the EU Recovery and Resilience Facility. This paper analyses Slovenia’s digital transformation between 2018 and 2021, using data collected from more than 5,000 respondents, to detect technology use differences in terms of demographics, focusing on the digital divide and the COVID-19 crisis, and compares Slovenia’s experience with other EU Member States, focusing especially on online public administration services. Our results evidence that the digital divide is the main differentiating factor in Slovenia and that gender is accordingly not of great import, and that Slovenia’s oldest generation and some members of younger generations face problems when endeavoring to digitally integrate. Compared to other EU Member States, Slovenia is average according to DESI, but the findings show that EU Member States should take its specifics into account to address their own DT paradigm.","author":[{"dropping-particle":"","family":"Dečman","given":"Mitja","non-dropping-particle":"","parse-names":false,"suffix":""},{"dropping-particle":"","family":"Stare","given":"Janez","non-dropping-particle":"","parse-names":false,"suffix":""},{"dropping-particle":"","family":"Klun","given":"Maja","non-dropping-particle":"","parse-names":false,"suffix":""}],"container-title":"Administratie si Management Public","id":"ITEM-1","issue":"39","issued":{"date-parts":[["2022"]]},"language":"English","page":"77-96","publisher":"Bucharest University of Economic Studies Publishing House","publisher-place":"University of Ljubljana, Faculty of Public Administration, Gosarjeva ulica 5, Ljubljana, 1000, Slovenia","title":"The impact of the COVID-19 crisis on the development of the information society in Slovenia","type":"article-journal","volume":"2022"},"uris":["http://www.mendeley.com/documents/?uuid=2a0d53c1-3349-4cd5-b645-65a1699b662b"]}],"mendeley":{"formattedCitation":"(Dečman et al., 2022)","manualFormatting":" (Dečman et al., 2022; ","plainTextFormattedCitation":"(Dečman et al., 2022)","previouslyFormattedCitation":"(Dečman et al., 2022)"},"properties":{"noteIndex":0},"schema":"https://github.com/citation-style-language/schema/raw/master/csl-citation.json"}</w:instrText>
      </w:r>
      <w:r w:rsidRPr="00D81F5F">
        <w:rPr>
          <w:sz w:val="24"/>
          <w:szCs w:val="24"/>
        </w:rPr>
        <w:fldChar w:fldCharType="separate"/>
      </w:r>
      <w:r w:rsidRPr="00D81F5F">
        <w:rPr>
          <w:noProof/>
          <w:sz w:val="24"/>
          <w:szCs w:val="24"/>
        </w:rPr>
        <w:t xml:space="preserve"> (Dečman et al., 2022</w:t>
      </w:r>
      <w:r w:rsidR="001644D9">
        <w:rPr>
          <w:noProof/>
          <w:sz w:val="24"/>
          <w:szCs w:val="24"/>
        </w:rPr>
        <w:t xml:space="preserve">; </w:t>
      </w:r>
      <w:r w:rsidRPr="00D81F5F">
        <w:rPr>
          <w:sz w:val="24"/>
          <w:szCs w:val="24"/>
        </w:rPr>
        <w:fldChar w:fldCharType="end"/>
      </w:r>
      <w:r w:rsidR="001644D9">
        <w:rPr>
          <w:sz w:val="24"/>
          <w:szCs w:val="24"/>
        </w:rPr>
        <w:fldChar w:fldCharType="begin" w:fldLock="1"/>
      </w:r>
      <w:r w:rsidR="000E796E">
        <w:rPr>
          <w:sz w:val="24"/>
          <w:szCs w:val="24"/>
        </w:rPr>
        <w:instrText>ADDIN CSL_CITATION {"citationItems":[{"id":"ITEM-1","itemData":{"DOI":"10.24857/RGSA.V18N2-092","ISBN":"0000000333399","ISSN":"1981982X","abstract":"Objective: This research aims to evaluate the effects of digital government initiatives on generating public value, with a specific focus on boosting citizen engagement in Ho Chi Minh City, Vietnam. Theoretical framework: The study is grounded in the theory of digital governance, which posits that digital technologies can transform public administration by improving transparency, efficiency, accountability, and service delivery. It explores how these technological interventions facilitate a participatory governance model by enabling better citizen-government interactions. Method: The study utilizes Structural Equation Modeling (SEM) to investigate key facets of digital governance, including transparency, cost-efficiency, data-driven policymaking, accountability, and service quality. Results and conclusion: The analysis reveals a strong positive link between the elements of digital governance and an increase in citizen engagement. These findings underscore the capacity of digitalization within public administration to enhance public participation and trust. Implications of the research: The study provides essential insights for policymakers regarding the impact of digital initiatives on urban governance. It underscores the importance of continued investment in technological advancements and data security to foster improved governance and citizen involvement. Originality/value: This research contributes uniquely to the understanding of how digital government initiatives can create public value by enhancing citizen engagement. It offers a critical examination of digital governance components and their effectiveness in fostering greater public participation and trust, providing valuable recommendations for policymakers focused on urban governance and digital transformation.","author":[{"dropping-particle":"","family":"Hien","given":"Bui Ngoc","non-dropping-particle":"","parse-names":false,"suffix":""},{"dropping-particle":"","family":"Tuyen","given":"Nguyen Thi Kim","non-dropping-particle":"","parse-names":false,"suffix":""},{"dropping-particle":"","family":"Lan","given":"Nguyen Thanh","non-dropping-particle":"","parse-names":false,"suffix":""},{"dropping-particle":"","family":"Ngan","given":"Ngo Thi Kim","non-dropping-particle":"","parse-names":false,"suffix":""},{"dropping-particle":"","family":"Thanh","given":"Nguyen Nghi","non-dropping-particle":"","parse-names":false,"suffix":""}],"container-title":"Revista de Gestao Social e Ambiental","id":"ITEM-1","issue":"2","issued":{"date-parts":[["2024"]]},"page":"1-23","title":"the Impact of Digital Government Initiatives on Public Value Creation: Evidence From Ho Chi Minh City - Vietnam","type":"article-journal","volume":"18"},"uris":["http://www.mendeley.com/documents/?uuid=a174b90c-ef0c-4e0a-8cbc-da058825990a"]}],"mendeley":{"formattedCitation":"(Hien et al., 2024)","manualFormatting":" Hien et al., 2024)","plainTextFormattedCitation":"(Hien et al., 2024)","previouslyFormattedCitation":"(Hien et al., 2024)"},"properties":{"noteIndex":0},"schema":"https://github.com/citation-style-language/schema/raw/master/csl-citation.json"}</w:instrText>
      </w:r>
      <w:r w:rsidR="001644D9">
        <w:rPr>
          <w:sz w:val="24"/>
          <w:szCs w:val="24"/>
        </w:rPr>
        <w:fldChar w:fldCharType="separate"/>
      </w:r>
      <w:r w:rsidR="001644D9" w:rsidRPr="001644D9">
        <w:rPr>
          <w:noProof/>
          <w:sz w:val="24"/>
          <w:szCs w:val="24"/>
        </w:rPr>
        <w:t xml:space="preserve"> Hien et al., 2024)</w:t>
      </w:r>
      <w:r w:rsidR="001644D9">
        <w:rPr>
          <w:sz w:val="24"/>
          <w:szCs w:val="24"/>
        </w:rPr>
        <w:fldChar w:fldCharType="end"/>
      </w:r>
      <w:r w:rsidR="000E796E">
        <w:rPr>
          <w:sz w:val="24"/>
          <w:szCs w:val="24"/>
        </w:rPr>
        <w:t>.</w:t>
      </w:r>
      <w:r w:rsidRPr="00D81F5F">
        <w:rPr>
          <w:sz w:val="24"/>
          <w:szCs w:val="24"/>
        </w:rPr>
        <w:t xml:space="preserve"> The urgency of this research lies in the pressing need to address these challenges to ensure that digital transformation not only improves operational efficiency but also encourages citizen participation in governance and reduces opportunities for corruption</w:t>
      </w:r>
      <w:r w:rsidR="000E796E">
        <w:rPr>
          <w:sz w:val="24"/>
          <w:szCs w:val="24"/>
        </w:rPr>
        <w:t xml:space="preserve"> </w:t>
      </w:r>
      <w:r w:rsidRPr="00D81F5F">
        <w:rPr>
          <w:sz w:val="24"/>
          <w:szCs w:val="24"/>
        </w:rPr>
        <w:fldChar w:fldCharType="begin" w:fldLock="1"/>
      </w:r>
      <w:r w:rsidR="000E796E">
        <w:rPr>
          <w:sz w:val="24"/>
          <w:szCs w:val="24"/>
        </w:rPr>
        <w:instrText>ADDIN CSL_CITATION {"citationItems":[{"id":"ITEM-1","itemData":{"DOI":"10.15826/recon.2019.5.2.006","ISSN":"24120731","abstract":"E-government systems are a part of the general process of digital transformation in the public sector: countries with efficient e-government manage to reduce the administrative burden on private citizens and businesses and to improve government performance, transparency and accountability. This article brings to light the connection between the development of e-government systems and such factors as the rule of law and control of corruption. The study relies on a path model, which was built and statistically tested by using linear regression analysis to authenticate the veracity of the model’s components. The model uses three indicators adopted from the World Bank’s Governance Indicator project – the rule of law, control of corruption, and government effectiveness. The data to measure the e-Government Development Index (EGDI) in fifteen countries was provided by the e-Government 2016 Survey conducted by the United Nations. The findings reveal a positive complementary relationship between the rule of law in a country and the development of an e-government system, which enhances the government’s effectiveness. The article describes a shift towards a more citizen-centric e-government implementation strategy, which can be recommended in particular to policy-makers in developing economies. The proposed model can be recommended as a measurement tool to assess effective governance in any given country.","author":[{"dropping-particle":"","family":"Agbozo","given":"Ebenezer","non-dropping-particle":"","parse-names":false,"suffix":""},{"dropping-particle":"","family":"Asamoah","given":"Benjamin K.","non-dropping-particle":"","parse-names":false,"suffix":""}],"container-title":"R-Economy","id":"ITEM-1","issue":"2","issued":{"date-parts":[["2019"]]},"language":"English","page":"53-60","publisher":"Ural Federal University","publisher-place":"Graduate School of Economics and Management, Ural Federal University, 19 Mira St., Ekaterinburg, 620002, Russian Federation","title":"The role of e-government systems in ensuring government effectiveness and control of corruption","type":"article-journal","volume":"5"},"uris":["http://www.mendeley.com/documents/?uuid=d9bdc2e6-a747-40b6-a53a-ebbdffef5bb5"]}],"mendeley":{"formattedCitation":"(Agbozo &amp; Asamoah, 2019)","plainTextFormattedCitation":"(Agbozo &amp; Asamoah, 2019)","previouslyFormattedCitation":"(Agbozo &amp; Asamoah, 2019)"},"properties":{"noteIndex":0},"schema":"https://github.com/citation-style-language/schema/raw/master/csl-citation.json"}</w:instrText>
      </w:r>
      <w:r w:rsidRPr="00D81F5F">
        <w:rPr>
          <w:sz w:val="24"/>
          <w:szCs w:val="24"/>
        </w:rPr>
        <w:fldChar w:fldCharType="separate"/>
      </w:r>
      <w:r w:rsidR="000E796E" w:rsidRPr="000E796E">
        <w:rPr>
          <w:noProof/>
          <w:sz w:val="24"/>
          <w:szCs w:val="24"/>
        </w:rPr>
        <w:t>(Agbozo &amp; Asamoah, 2019)</w:t>
      </w:r>
      <w:r w:rsidRPr="00D81F5F">
        <w:rPr>
          <w:sz w:val="24"/>
          <w:szCs w:val="24"/>
        </w:rPr>
        <w:fldChar w:fldCharType="end"/>
      </w:r>
      <w:r w:rsidR="000E796E">
        <w:rPr>
          <w:sz w:val="24"/>
          <w:szCs w:val="24"/>
        </w:rPr>
        <w:t>.</w:t>
      </w:r>
      <w:r w:rsidRPr="00D81F5F">
        <w:rPr>
          <w:sz w:val="24"/>
          <w:szCs w:val="24"/>
        </w:rPr>
        <w:t xml:space="preserve"> As such, this research focuses on devising policy strategies that can be adopted by the government to accelerate digital transformation, particularly by strengthening collaboration between the public and private sectors, as well as enhancing digital skills at all levels of society</w:t>
      </w:r>
      <w:r w:rsidR="000E796E">
        <w:rPr>
          <w:sz w:val="24"/>
          <w:szCs w:val="24"/>
        </w:rPr>
        <w:t xml:space="preserve"> </w:t>
      </w:r>
      <w:r w:rsidRPr="00D81F5F">
        <w:rPr>
          <w:sz w:val="24"/>
          <w:szCs w:val="24"/>
        </w:rPr>
        <w:fldChar w:fldCharType="begin" w:fldLock="1"/>
      </w:r>
      <w:r w:rsidR="000E796E">
        <w:rPr>
          <w:sz w:val="24"/>
          <w:szCs w:val="24"/>
        </w:rPr>
        <w:instrText>ADDIN CSL_CITATION {"citationItems":[{"id":"ITEM-1","itemData":{"DOI":"10.3390/su16072686","ISSN":"20711050","abstract":"The public sector presents important steps for digital transformation. Digital transformation uses a series of tools and methods to improve the relationship with citizens and improve benefits. This paper explores the role of artificial intelligence (AI) in governance processes and provides public institutions with insight regarding the impact of integrating chatbot communication tools when interacting with citizens. The present research provides an analysis of the socio-economic factors that determine the use of artificial intelligence tools, i.e., the propensity to interact more with the public administration as a result of improved communication through virtual assistants, and highlights the implications of AI in improving services towards civil society by determining the degree of satisfaction on aspects such as reduced waiting times in queues, access to information regardless of the traditional working hours of civil servants, quicker execution of operations, et al. The results, derived from an analysis of 507 sets of responses obtained from an online questionnaire, indicate that a number of variables, such as residential environment, employment status, household income and education level, significantly impact the effectiveness of artificial intelligence in mediating citizen communication with government.","author":[{"dropping-particle":"","family":"Pislaru","given":"Marius","non-dropping-particle":"","parse-names":false,"suffix":""},{"dropping-particle":"","family":"Vlad","given":"Ciprian Sorin","non-dropping-particle":"","parse-names":false,"suffix":""},{"dropping-particle":"","family":"Ivascu","given":"Larisa","non-dropping-particle":"","parse-names":false,"suffix":""},{"dropping-particle":"","family":"Mircea","given":"Iulia Ioana","non-dropping-particle":"","parse-names":false,"suffix":""}],"container-title":"Sustainability (Switzerland) ","id":"ITEM-1","issue":"7","issued":{"date-parts":[["2024"]]},"language":"English","publisher":"Multidisciplinary Digital Publishing Institute (MDPI)","publisher-place":"Department of Engineering Management, Faculty of Industrial Design and Business Management, “Gheorghe Asachi” Technical University of Iasi, Iasi, 700050, Romania","title":"Citizen-Centric Governance: Enhancing Citizen Engagement through Artificial Intelligence Tools","type":"article-journal","volume":"16"},"uris":["http://www.mendeley.com/documents/?uuid=72eb36cd-8bb6-464a-a120-f7b4ea1df6af"]}],"mendeley":{"formattedCitation":"(Pislaru et al., 2024)","plainTextFormattedCitation":"(Pislaru et al., 2024)","previouslyFormattedCitation":"(Pislaru et al., 2024)"},"properties":{"noteIndex":0},"schema":"https://github.com/citation-style-language/schema/raw/master/csl-citation.json"}</w:instrText>
      </w:r>
      <w:r w:rsidRPr="00D81F5F">
        <w:rPr>
          <w:sz w:val="24"/>
          <w:szCs w:val="24"/>
        </w:rPr>
        <w:fldChar w:fldCharType="separate"/>
      </w:r>
      <w:r w:rsidR="000E796E" w:rsidRPr="000E796E">
        <w:rPr>
          <w:noProof/>
          <w:sz w:val="24"/>
          <w:szCs w:val="24"/>
        </w:rPr>
        <w:t>(Pislaru et al., 2024)</w:t>
      </w:r>
      <w:r w:rsidRPr="00D81F5F">
        <w:rPr>
          <w:sz w:val="24"/>
          <w:szCs w:val="24"/>
        </w:rPr>
        <w:fldChar w:fldCharType="end"/>
      </w:r>
      <w:r w:rsidR="000E796E">
        <w:rPr>
          <w:sz w:val="24"/>
          <w:szCs w:val="24"/>
        </w:rPr>
        <w:t>.</w:t>
      </w:r>
      <w:r w:rsidRPr="00D81F5F">
        <w:rPr>
          <w:sz w:val="24"/>
          <w:szCs w:val="24"/>
        </w:rPr>
        <w:t xml:space="preserve"> This research is important to provide policymakers with the necessary insights to design policies that can ensure the sustainability of digital transformation, so that it can have a significant positive impact on society at large.</w:t>
      </w:r>
    </w:p>
    <w:p w14:paraId="2E01D244" w14:textId="77777777" w:rsidR="00D81F5F" w:rsidRPr="00D81F5F" w:rsidRDefault="00D81F5F" w:rsidP="00CE35A4">
      <w:pPr>
        <w:spacing w:line="360" w:lineRule="auto"/>
        <w:ind w:left="284" w:firstLine="0"/>
        <w:rPr>
          <w:sz w:val="24"/>
          <w:szCs w:val="24"/>
        </w:rPr>
      </w:pPr>
    </w:p>
    <w:p w14:paraId="4ACB22B6" w14:textId="19B8B07B" w:rsidR="008B2319" w:rsidRPr="00D81F5F" w:rsidRDefault="00000000">
      <w:pPr>
        <w:pStyle w:val="Heading1"/>
        <w:ind w:left="259" w:right="0" w:hanging="274"/>
        <w:rPr>
          <w:sz w:val="24"/>
          <w:szCs w:val="24"/>
        </w:rPr>
      </w:pPr>
      <w:r w:rsidRPr="00D81F5F">
        <w:rPr>
          <w:sz w:val="24"/>
          <w:szCs w:val="24"/>
        </w:rPr>
        <w:t xml:space="preserve">Method </w:t>
      </w:r>
    </w:p>
    <w:p w14:paraId="509009C3" w14:textId="046D8296" w:rsidR="00617AD3" w:rsidRPr="00D81F5F" w:rsidRDefault="00617AD3" w:rsidP="0063212F">
      <w:pPr>
        <w:spacing w:line="360" w:lineRule="auto"/>
        <w:ind w:left="284"/>
        <w:rPr>
          <w:sz w:val="22"/>
        </w:rPr>
      </w:pPr>
      <w:r w:rsidRPr="00D81F5F">
        <w:rPr>
          <w:sz w:val="22"/>
        </w:rPr>
        <w:t>This research uses a systematic literature review method approach to explore trends, challenges and innovations in digital transformation in the public sector, with a focus on the Indonesian context</w:t>
      </w:r>
      <w:r w:rsidR="001644D9">
        <w:rPr>
          <w:sz w:val="22"/>
        </w:rPr>
        <w:fldChar w:fldCharType="begin" w:fldLock="1"/>
      </w:r>
      <w:r w:rsidR="000E796E">
        <w:rPr>
          <w:sz w:val="22"/>
        </w:rPr>
        <w:instrText>ADDIN CSL_CITATION {"citationItems":[{"id":"ITEM-1","itemData":{"DOI":"10.1016/j.giq.2018.07.001","ISSN":"0740624X","abstract":"The Internet of Things (IoT) has gained significant importance in science and management and holds great value creation potential for public services. A pressing issue in this regard is how governments and public organizations can adapt their traditional structures and processes to the innovative field of the IoT to create public value. Previous research fails to provide a holistic explanation to this research question. Its technological background and predominant consideration in technology-based research areas has led to a one-sided understanding of the IoT concept that neglects its value-adding aspects. To fill in this research gap, this study presents an integrative public IoT framework for smart government, consolidating insights from IoT literature and related fields of research, complementing the so far predominant technology perspective of IoT with important business-related or value-adding aspects. In doing so, it enhances our understanding of public management-specific key dimensions and aspects of the IoT, serving as a holistic guidance for future research as well as practical implementation and application.","author":[{"dropping-particle":"","family":"Wirtz","given":"Bernd W.","non-dropping-particle":"","parse-names":false,"suffix":""},{"dropping-particle":"","family":"Weyerer","given":"Jan C.","non-dropping-particle":"","parse-names":false,"suffix":""},{"dropping-particle":"","family":"Schichtel","given":"Franziska T.","non-dropping-particle":"","parse-names":false,"suffix":""}],"container-title":"Government Information Quarterly","id":"ITEM-1","issue":"2","issued":{"date-parts":[["2019"]]},"page":"333-345","title":"An integrative public IoT framework for smart government","type":"article-journal","volume":"36"},"uris":["http://www.mendeley.com/documents/?uuid=efc36755-b965-42d0-b238-177477947378"]}],"mendeley":{"formattedCitation":"(Wirtz et al., 2019)","plainTextFormattedCitation":"(Wirtz et al., 2019)","previouslyFormattedCitation":"(Wirtz et al., 2019)"},"properties":{"noteIndex":0},"schema":"https://github.com/citation-style-language/schema/raw/master/csl-citation.json"}</w:instrText>
      </w:r>
      <w:r w:rsidR="001644D9">
        <w:rPr>
          <w:sz w:val="22"/>
        </w:rPr>
        <w:fldChar w:fldCharType="separate"/>
      </w:r>
      <w:r w:rsidR="000E796E" w:rsidRPr="000E796E">
        <w:rPr>
          <w:noProof/>
          <w:sz w:val="22"/>
        </w:rPr>
        <w:t>(Wirtz et al., 2019)</w:t>
      </w:r>
      <w:r w:rsidR="001644D9">
        <w:rPr>
          <w:sz w:val="22"/>
        </w:rPr>
        <w:fldChar w:fldCharType="end"/>
      </w:r>
      <w:r w:rsidR="000E796E">
        <w:rPr>
          <w:sz w:val="22"/>
        </w:rPr>
        <w:t>.</w:t>
      </w:r>
      <w:r w:rsidRPr="00D81F5F">
        <w:rPr>
          <w:sz w:val="22"/>
        </w:rPr>
        <w:t xml:space="preserve"> The data used was sourced from English-language scholarly articles retrieved from the Scopus database, published between 2016 and 2023. The selected articles focused on the topics of digital transformation, e-government, technological innovation, and public policy in the public sector. From a total of 460 identified articles, 135 articles were filtered based on topic relevance and </w:t>
      </w:r>
      <w:proofErr w:type="spellStart"/>
      <w:r w:rsidRPr="00D81F5F">
        <w:rPr>
          <w:sz w:val="22"/>
        </w:rPr>
        <w:t>analyzed</w:t>
      </w:r>
      <w:proofErr w:type="spellEnd"/>
      <w:r w:rsidRPr="00D81F5F">
        <w:rPr>
          <w:sz w:val="22"/>
        </w:rPr>
        <w:t xml:space="preserve"> in depth. The data search process was conducted using keywords such as "digital transformation," "public sector," and "e-government," and involved a rigorous selection to ensure the articles fit the research topic.</w:t>
      </w:r>
    </w:p>
    <w:p w14:paraId="40D36FBB" w14:textId="77777777" w:rsidR="00617AD3" w:rsidRPr="00D81F5F" w:rsidRDefault="00617AD3" w:rsidP="0063212F">
      <w:pPr>
        <w:spacing w:line="360" w:lineRule="auto"/>
        <w:ind w:left="284"/>
        <w:rPr>
          <w:sz w:val="22"/>
        </w:rPr>
      </w:pPr>
      <w:r w:rsidRPr="00D81F5F">
        <w:rPr>
          <w:sz w:val="22"/>
        </w:rPr>
        <w:t xml:space="preserve">Data were </w:t>
      </w:r>
      <w:proofErr w:type="spellStart"/>
      <w:r w:rsidRPr="00D81F5F">
        <w:rPr>
          <w:sz w:val="22"/>
        </w:rPr>
        <w:t>analyzed</w:t>
      </w:r>
      <w:proofErr w:type="spellEnd"/>
      <w:r w:rsidRPr="00D81F5F">
        <w:rPr>
          <w:sz w:val="22"/>
        </w:rPr>
        <w:t xml:space="preserve"> using thematic analysis. Each article was read to identify key themes, such as technology adoption challenges, infrastructure limitations, resistance to change, and public service innovation. The coding results were organized into thematic categories to make it easier to understand the patterns that emerged from the literature. In addition, this study used </w:t>
      </w:r>
      <w:proofErr w:type="spellStart"/>
      <w:r w:rsidRPr="00D81F5F">
        <w:rPr>
          <w:sz w:val="22"/>
        </w:rPr>
        <w:t>VOSviewer</w:t>
      </w:r>
      <w:proofErr w:type="spellEnd"/>
      <w:r w:rsidRPr="00D81F5F">
        <w:rPr>
          <w:sz w:val="22"/>
        </w:rPr>
        <w:t xml:space="preserve"> to visualize the relationships between the various themes that emerged from the literature. The use of </w:t>
      </w:r>
      <w:proofErr w:type="spellStart"/>
      <w:r w:rsidRPr="00D81F5F">
        <w:rPr>
          <w:sz w:val="22"/>
        </w:rPr>
        <w:t>VOSviewer</w:t>
      </w:r>
      <w:proofErr w:type="spellEnd"/>
      <w:r w:rsidRPr="00D81F5F">
        <w:rPr>
          <w:sz w:val="22"/>
        </w:rPr>
        <w:t xml:space="preserve"> makes it easier to understand dominant research trends as well as areas that still require further exploration, such as the digital divide in Indonesia and the challenges of technology adoption in remote areas.</w:t>
      </w:r>
    </w:p>
    <w:p w14:paraId="20EB6729" w14:textId="149002B8" w:rsidR="000E796E" w:rsidRDefault="00617AD3" w:rsidP="000E796E">
      <w:pPr>
        <w:spacing w:line="360" w:lineRule="auto"/>
        <w:ind w:left="284"/>
        <w:rPr>
          <w:sz w:val="22"/>
        </w:rPr>
      </w:pPr>
      <w:r w:rsidRPr="00D81F5F">
        <w:rPr>
          <w:sz w:val="22"/>
        </w:rPr>
        <w:t>This research also emphasizes the importance of validity through data triangulation. The results of the analysis were compared with other literature to ensure consistency of findings, and expert discussions were held with digital transformation experts to ensure the relevance of the research results to the local Indonesian context. Although this study uses secondary data, the findings still provide important insights into digital transformation trends and policies in the Indonesian public sector. However, the limitation of this study lies in the absence of primary data, so further research involving stakeholder interviews or surveys is recommended to complement the results.</w:t>
      </w:r>
    </w:p>
    <w:p w14:paraId="67D53985" w14:textId="77777777" w:rsidR="000E796E" w:rsidRDefault="000E796E" w:rsidP="000E796E">
      <w:pPr>
        <w:spacing w:line="360" w:lineRule="auto"/>
        <w:ind w:left="284"/>
        <w:rPr>
          <w:sz w:val="22"/>
        </w:rPr>
      </w:pPr>
    </w:p>
    <w:p w14:paraId="4E57E01D" w14:textId="77777777" w:rsidR="000E796E" w:rsidRPr="00D81F5F" w:rsidRDefault="000E796E" w:rsidP="000E796E">
      <w:pPr>
        <w:spacing w:line="360" w:lineRule="auto"/>
        <w:ind w:left="284"/>
        <w:rPr>
          <w:sz w:val="22"/>
        </w:rPr>
      </w:pPr>
    </w:p>
    <w:p w14:paraId="0348CE6A" w14:textId="1A003222" w:rsidR="00CE35A4" w:rsidRPr="000E796E" w:rsidRDefault="00000000" w:rsidP="000E796E">
      <w:pPr>
        <w:pStyle w:val="Heading1"/>
        <w:ind w:left="254" w:right="0" w:hanging="269"/>
        <w:rPr>
          <w:sz w:val="24"/>
          <w:szCs w:val="24"/>
        </w:rPr>
      </w:pPr>
      <w:r w:rsidRPr="00D81F5F">
        <w:rPr>
          <w:sz w:val="24"/>
          <w:szCs w:val="24"/>
        </w:rPr>
        <w:t xml:space="preserve">Literature Review </w:t>
      </w:r>
    </w:p>
    <w:p w14:paraId="5B85DE1D" w14:textId="77777777" w:rsidR="00CE35A4" w:rsidRPr="00D81F5F" w:rsidRDefault="00CE35A4" w:rsidP="00CE35A4">
      <w:pPr>
        <w:spacing w:line="360" w:lineRule="auto"/>
        <w:ind w:left="284"/>
        <w:rPr>
          <w:b/>
          <w:bCs/>
          <w:i/>
          <w:iCs/>
          <w:sz w:val="22"/>
        </w:rPr>
      </w:pPr>
      <w:r w:rsidRPr="00D81F5F">
        <w:rPr>
          <w:b/>
          <w:bCs/>
          <w:i/>
          <w:iCs/>
          <w:sz w:val="22"/>
        </w:rPr>
        <w:t>Application of Technology in Digital Transformation in the Public Sector</w:t>
      </w:r>
    </w:p>
    <w:p w14:paraId="39A6F440" w14:textId="36CC8586" w:rsidR="00CE35A4" w:rsidRPr="00D81F5F" w:rsidRDefault="00CE35A4" w:rsidP="001813E2">
      <w:pPr>
        <w:spacing w:line="360" w:lineRule="auto"/>
        <w:ind w:left="284" w:firstLine="0"/>
        <w:rPr>
          <w:sz w:val="22"/>
        </w:rPr>
      </w:pPr>
      <w:r w:rsidRPr="00D81F5F">
        <w:rPr>
          <w:sz w:val="22"/>
        </w:rPr>
        <w:t>Digital transformation in the public sector has created various technological innovations designed to improve the efficiency and quality of public services. Cloud computing allows for more efficient data storage and management, as well as reduced operational costs</w:t>
      </w:r>
      <w:r w:rsidRPr="00D81F5F">
        <w:rPr>
          <w:sz w:val="22"/>
        </w:rPr>
        <w:fldChar w:fldCharType="begin" w:fldLock="1"/>
      </w:r>
      <w:r w:rsidR="000E796E">
        <w:rPr>
          <w:sz w:val="22"/>
        </w:rPr>
        <w:instrText>ADDIN CSL_CITATION {"citationItems":[{"id":"ITEM-1","itemData":{"abstract":"(S&amp;A) practice, comprised of 2,100+ passionate strategy and analytics practitioners located across the country. GPS S&amp;A collaborates with federal agencies, state and local governments, and higher education institutions to bring integrated strategy, advanced analytics, and cognitive solutions and data assets to bear on clients' most critical mission challenges. In leading the S&amp;A practice, Manstof is actively driving our continued rapid growth, delivering the #1 talent experience to our practice, and fostering a cohesive culture that builds and gives back to our broader communities.","author":[{"dropping-particle":"","family":"Deloitte Insights","given":"","non-dropping-particle":"","parse-names":false,"suffix":""}],"id":"ITEM-1","issued":{"date-parts":[["2021"]]},"title":"Seven pivots for government’s digital transformation","type":"article-journal"},"uris":["http://www.mendeley.com/documents/?uuid=734e5413-a83b-43ce-8820-73b6bc38ad87"]}],"mendeley":{"formattedCitation":"(Deloitte Insights, 2021)","plainTextFormattedCitation":"(Deloitte Insights, 2021)","previouslyFormattedCitation":"(Deloitte Insights, 2021)"},"properties":{"noteIndex":0},"schema":"https://github.com/citation-style-language/schema/raw/master/csl-citation.json"}</w:instrText>
      </w:r>
      <w:r w:rsidRPr="00D81F5F">
        <w:rPr>
          <w:sz w:val="22"/>
        </w:rPr>
        <w:fldChar w:fldCharType="separate"/>
      </w:r>
      <w:r w:rsidR="000E796E" w:rsidRPr="000E796E">
        <w:rPr>
          <w:noProof/>
          <w:sz w:val="22"/>
        </w:rPr>
        <w:t>(Deloitte Insights, 2021)</w:t>
      </w:r>
      <w:r w:rsidRPr="00D81F5F">
        <w:rPr>
          <w:sz w:val="22"/>
        </w:rPr>
        <w:fldChar w:fldCharType="end"/>
      </w:r>
      <w:r w:rsidR="000E796E">
        <w:rPr>
          <w:sz w:val="22"/>
        </w:rPr>
        <w:t>.</w:t>
      </w:r>
      <w:r w:rsidRPr="00D81F5F">
        <w:rPr>
          <w:sz w:val="22"/>
        </w:rPr>
        <w:t xml:space="preserve"> In addition, big data analytics helps governments make data-driven decisions, enabling more accurate and effective policy planning</w:t>
      </w:r>
      <w:r w:rsidRPr="00D81F5F">
        <w:rPr>
          <w:sz w:val="22"/>
        </w:rPr>
        <w:fldChar w:fldCharType="begin" w:fldLock="1"/>
      </w:r>
      <w:r w:rsidR="000E796E">
        <w:rPr>
          <w:sz w:val="22"/>
        </w:rPr>
        <w:instrText>ADDIN CSL_CITATION {"citationItems":[{"id":"ITEM-1","itemData":{"DOI":"10.1017/dap.2022.18","ISSN":"26323249","abstract":"The response to the COVID-19 pandemic has, from the outset, been characterized by a strong focus on real-time data intelligence and the use of data-driven technologies. Against this backdrop, this article investigates the impacts of the pandemic on Scottish local government's data practices and, in turn, whether the crisis acted as a driver for digital transformation. Mobilizing the literatures on digital government transformation, and on the impacts of crises on public administrations, the article provides insights into the dynamics of digital transformation during a heightened period of acute demands on the public sector. The research evidences an intensification of public sector data use and sharing in Scottish local authorities, with focus on health-related data and the integration of existing datasets to gather local intelligence. The research reveals significant changes related to the technical and social systems of local government organizations. These include the repurposing and adoption of information systems, the acceleration of inter and intraorganizational data sharing processes, as well as changes in ways of working and in attitudes toward data sharing and collaborations. Drawing on these findings, the article highlights the importance of identifying and articulating specific data needs in relation to concrete policy questions in order to render digital transformation relevant and effective. The article also points to the need of addressing the persistent systemic challenges underlying public sector data engagement through, on one hand, sustained investment in data capabilities and infrastructures and, on the other, support for cross-organizational collaborative spaces and networks.","author":[{"dropping-particle":"","family":"Gangneux","given":"Justine","non-dropping-particle":"","parse-names":false,"suffix":""},{"dropping-particle":"","family":"Joss","given":"Simon","non-dropping-particle":"","parse-names":false,"suffix":""}],"container-title":"Data and Policy","id":"ITEM-1","issue":"1","issued":{"date-parts":[["2022"]]},"language":"English","publisher":"Cambridge University Press","publisher-place":"Urban Big Data Centre, School of Social and Political Sciences, University of Glasgow, Glasgow, United Kingdom","title":"Crisis as driver of digital transformation? Scottish local governments' response to COVID-19","type":"article-journal","volume":"4"},"uris":["http://www.mendeley.com/documents/?uuid=dc1dbb0e-9db0-41d1-b54e-195449742b1a"]}],"mendeley":{"formattedCitation":"(Gangneux &amp; Joss, 2022)","plainTextFormattedCitation":"(Gangneux &amp; Joss, 2022)","previouslyFormattedCitation":"(Gangneux &amp; Joss, 2022)"},"properties":{"noteIndex":0},"schema":"https://github.com/citation-style-language/schema/raw/master/csl-citation.json"}</w:instrText>
      </w:r>
      <w:r w:rsidRPr="00D81F5F">
        <w:rPr>
          <w:sz w:val="22"/>
        </w:rPr>
        <w:fldChar w:fldCharType="separate"/>
      </w:r>
      <w:r w:rsidR="000E796E" w:rsidRPr="000E796E">
        <w:rPr>
          <w:noProof/>
          <w:sz w:val="22"/>
        </w:rPr>
        <w:t>(Gangneux &amp; Joss, 2022)</w:t>
      </w:r>
      <w:r w:rsidRPr="00D81F5F">
        <w:rPr>
          <w:sz w:val="22"/>
        </w:rPr>
        <w:fldChar w:fldCharType="end"/>
      </w:r>
      <w:r w:rsidR="000E796E">
        <w:rPr>
          <w:sz w:val="22"/>
        </w:rPr>
        <w:t>.</w:t>
      </w:r>
      <w:r w:rsidRPr="00D81F5F">
        <w:rPr>
          <w:sz w:val="22"/>
        </w:rPr>
        <w:t xml:space="preserve"> Artificial intelligence (AI) is also being used to automate administrative processes, such as the use of chatbots to improve citizen interactions with government</w:t>
      </w:r>
      <w:r w:rsidRPr="00D81F5F">
        <w:rPr>
          <w:sz w:val="22"/>
        </w:rPr>
        <w:fldChar w:fldCharType="begin" w:fldLock="1"/>
      </w:r>
      <w:r w:rsidR="000E796E">
        <w:rPr>
          <w:sz w:val="22"/>
        </w:rPr>
        <w:instrText>ADDIN CSL_CITATION {"citationItems":[{"id":"ITEM-1","itemData":{"DOI":"10.1080/14719037.2023.2231950","ISSN":"14719045","abstract":"Artificial Intelligence (AI) has advanced as one of the most prominent technological innovations to push the conversation about the digital transformation of the public sector forward. This special issue focuses on actual implementation approaches or challenges that public managers are facing while they fulfil new policy that asks for the implementation of AI in public administrations. In addition to assessing the contributions of papers in this issue, we also provide a research agenda on how future research can fill some of the methodological, theoretical, and application gaps in the public management literature.","author":[{"dropping-particle":"","family":"Mergel","given":"Ines","non-dropping-particle":"","parse-names":false,"suffix":""},{"dropping-particle":"","family":"Dickinson","given":"Helen","non-dropping-particle":"","parse-names":false,"suffix":""},{"dropping-particle":"","family":"Stenvall","given":"Jari","non-dropping-particle":"","parse-names":false,"suffix":""},{"dropping-particle":"","family":"Gasco","given":"Mila","non-dropping-particle":"","parse-names":false,"suffix":""}],"container-title":"Public Management Review","id":"ITEM-1","issued":{"date-parts":[["2023"]]},"page":"1-14","publisher":"Taylor &amp; Francis","title":"Implementing AI in the public sector","type":"article-journal"},"uris":["http://www.mendeley.com/documents/?uuid=4d4f7754-aa46-4a02-8592-3faf0cf8e0f3"]}],"mendeley":{"formattedCitation":"(Mergel et al., 2023)","plainTextFormattedCitation":"(Mergel et al., 2023)","previouslyFormattedCitation":"(Mergel et al., 2023)"},"properties":{"noteIndex":0},"schema":"https://github.com/citation-style-language/schema/raw/master/csl-citation.json"}</w:instrText>
      </w:r>
      <w:r w:rsidRPr="00D81F5F">
        <w:rPr>
          <w:sz w:val="22"/>
        </w:rPr>
        <w:fldChar w:fldCharType="separate"/>
      </w:r>
      <w:r w:rsidR="000E796E" w:rsidRPr="000E796E">
        <w:rPr>
          <w:noProof/>
          <w:sz w:val="22"/>
        </w:rPr>
        <w:t>(Mergel et al., 2023)</w:t>
      </w:r>
      <w:r w:rsidRPr="00D81F5F">
        <w:rPr>
          <w:sz w:val="22"/>
        </w:rPr>
        <w:fldChar w:fldCharType="end"/>
      </w:r>
    </w:p>
    <w:p w14:paraId="54F4FC70" w14:textId="70AAE26C" w:rsidR="00CE35A4" w:rsidRPr="00D81F5F" w:rsidRDefault="00CE35A4" w:rsidP="001813E2">
      <w:pPr>
        <w:spacing w:line="360" w:lineRule="auto"/>
        <w:ind w:left="284" w:firstLine="0"/>
        <w:rPr>
          <w:sz w:val="22"/>
        </w:rPr>
      </w:pPr>
      <w:r w:rsidRPr="00D81F5F">
        <w:rPr>
          <w:sz w:val="22"/>
        </w:rPr>
        <w:t>Although technologies such as AI and IoT offer many benefits, their implementation in Indonesia is still hampered by infrastructure gaps, especially in remote areas</w:t>
      </w:r>
      <w:r w:rsidRPr="00D81F5F">
        <w:rPr>
          <w:sz w:val="22"/>
        </w:rPr>
        <w:fldChar w:fldCharType="begin" w:fldLock="1"/>
      </w:r>
      <w:r w:rsidR="000E796E">
        <w:rPr>
          <w:sz w:val="22"/>
        </w:rPr>
        <w:instrText>ADDIN CSL_CITATION {"citationItems":[{"id":"ITEM-1","itemData":{"DOI":"10.5209/REVE.95352","ISSN":"18858031","abstract":"Wine tokenisation is one of the most formidable challenges faced by wine industry in the process of digitalisation for the shortcoming years. The winegrowing and wine sector throughout the whole extension of its chain of value are experimenting a radical transformation. Relevant AI, DLT and IoT actors, and leaders in the scientific community in chemistry, engineering, economy and law share the idea of shifting vine and wine interprofessional cooperation in digital identity and data sharing in vine and wine digital authentication and market traceability processes. This contribution poses key issues thereto, within the context of the development of new DLT tokenised wine markets and social hubs, envisaging transdisciplinary ways to overcome main economic threats and legal barriers.","author":[{"dropping-particle":"","family":"Ibáñez-Jiménez","given":"Javier W.","non-dropping-particle":"","parse-names":false,"suffix":""},{"dropping-particle":"","family":"Palomo-Zurdo","given":"Ricardo","non-dropping-particle":"","parse-names":false,"suffix":""}],"container-title":"REVESCO Revista de Estudios Cooperativos","id":"ITEM-1","issued":{"date-parts":[["2024"]]},"language":"English","publisher":"Universidad Compultense Madrid","publisher-place":"Universidad Pontificia Comillas, Spain","title":"Wine tokenisation: the opportunity of DLT technology for the economic and social challenges of the wine sector","type":"article-journal","volume":"146"},"uris":["http://www.mendeley.com/documents/?uuid=2456b498-d0f8-48a2-a728-fbd08c634524"]}],"mendeley":{"formattedCitation":"(Ibáñez-Jiménez &amp; Palomo-Zurdo, 2024)","plainTextFormattedCitation":"(Ibáñez-Jiménez &amp; Palomo-Zurdo, 2024)","previouslyFormattedCitation":"(Ibáñez-Jiménez &amp; Palomo-Zurdo, 2024)"},"properties":{"noteIndex":0},"schema":"https://github.com/citation-style-language/schema/raw/master/csl-citation.json"}</w:instrText>
      </w:r>
      <w:r w:rsidRPr="00D81F5F">
        <w:rPr>
          <w:sz w:val="22"/>
        </w:rPr>
        <w:fldChar w:fldCharType="separate"/>
      </w:r>
      <w:r w:rsidR="000E796E" w:rsidRPr="000E796E">
        <w:rPr>
          <w:noProof/>
          <w:sz w:val="22"/>
        </w:rPr>
        <w:t>(Ibáñez-Jiménez &amp; Palomo-Zurdo, 2024)</w:t>
      </w:r>
      <w:r w:rsidRPr="00D81F5F">
        <w:rPr>
          <w:sz w:val="22"/>
        </w:rPr>
        <w:fldChar w:fldCharType="end"/>
      </w:r>
      <w:r w:rsidR="000E796E">
        <w:rPr>
          <w:sz w:val="22"/>
        </w:rPr>
        <w:t>.</w:t>
      </w:r>
      <w:r w:rsidRPr="00D81F5F">
        <w:rPr>
          <w:sz w:val="22"/>
        </w:rPr>
        <w:t xml:space="preserve"> The Internet of Things (IoT) enables real-time monitoring of infrastructure, but its implementation is often hampered by limited internet connectivity</w:t>
      </w:r>
      <w:r w:rsidRPr="00D81F5F">
        <w:rPr>
          <w:sz w:val="22"/>
        </w:rPr>
        <w:fldChar w:fldCharType="begin" w:fldLock="1"/>
      </w:r>
      <w:r w:rsidR="000E796E">
        <w:rPr>
          <w:sz w:val="22"/>
        </w:rPr>
        <w:instrText>ADDIN CSL_CITATION {"citationItems":[{"id":"ITEM-1","itemData":{"DOI":"10.3390/su16072818","ISSN":"20711050","abstract":"Digital transformation improves public services by integrating digital technology. The rapid use of digital technology in the public sector may marginalize groups without access to or familiarity with digital platforms. This can create a digital divide, worsening inequities by leaving people who cannot access digital services behind. This research will examine public service delivery digital transformation projects and their effects on local governments. The study uses a thorough literature evaluation and case studies of digital transformation projects in different nations. Scopus was used to find relevant content and current public sector digitization research, papers, and publications and they were examined. The study included a variety of opinions on the issue. The assessment found that digital transformation improves efficiency, citizen involvement, and government accountability in public service delivery. Digital transformation may face obstacles that must be overcome. This research demonstrated that improving organizational efficiency, meeting citizen expectations, and responding to superior demands from higher authorities drive digital change in public service delivery. This study stresses technological readiness as a critical driver of local government digital transformation. Opponents’ concerns should be addressed in future research and practice, such as digital service delivery inclusivity and accessibility, cost and resource management, and data security and privacy.","author":[{"dropping-particle":"","family":"Latupeirissa","given":"Jonathan Jacob Paul","non-dropping-particle":"","parse-names":false,"suffix":""},{"dropping-particle":"","family":"Dewi","given":"Ni Luh Yulyana","non-dropping-particle":"","parse-names":false,"suffix":""},{"dropping-particle":"","family":"Prayana","given":"I. Kadek Rian","non-dropping-particle":"","parse-names":false,"suffix":""},{"dropping-particle":"","family":"Srikandi","given":"Melati Budi","non-dropping-particle":"","parse-names":false,"suffix":""},{"dropping-particle":"","family":"Ramadiansyah","given":"Sahri Aflah","non-dropping-particle":"","parse-names":false,"suffix":""},{"dropping-particle":"","family":"Pramana","given":"Ida Bagus Gde Agung Yoga","non-dropping-particle":"","parse-names":false,"suffix":""}],"container-title":"Sustainability (Switzerland) ","id":"ITEM-1","issue":"7","issued":{"date-parts":[["2024","3","28"]]},"language":"English","note":"Export Date: 01 November 2024; Cited By: 6; Correspondence Address: J.J.P. Latupeirissa; Faculty of Social Sciences and Humanities, Universitas Pendidikan Nasional, Kota Denpasar, 80225, Indonesia; email: jonathanlatupeirissa@undiknas.ac.id","page":"2818","publisher":"Multidisciplinary Digital Publishing Institute (MDPI)","publisher-place":"Faculty of Social Sciences and Humanities, Universitas Pendidikan Nasional, Kota Denpasar, 80225, Indonesia","title":"Transforming Public Service Delivery: A Comprehensive Review of Digitization Initiatives","type":"article-journal","volume":"16"},"uris":["http://www.mendeley.com/documents/?uuid=d465c0b7-96ca-404b-8b95-445f03f3000b"]}],"mendeley":{"formattedCitation":"(Latupeirissa et al., 2024)","plainTextFormattedCitation":"(Latupeirissa et al., 2024)","previouslyFormattedCitation":"(Latupeirissa et al., 2024)"},"properties":{"noteIndex":0},"schema":"https://github.com/citation-style-language/schema/raw/master/csl-citation.json"}</w:instrText>
      </w:r>
      <w:r w:rsidRPr="00D81F5F">
        <w:rPr>
          <w:sz w:val="22"/>
        </w:rPr>
        <w:fldChar w:fldCharType="separate"/>
      </w:r>
      <w:r w:rsidR="000E796E" w:rsidRPr="000E796E">
        <w:rPr>
          <w:noProof/>
          <w:sz w:val="22"/>
        </w:rPr>
        <w:t>(Latupeirissa et al., 2024)</w:t>
      </w:r>
      <w:r w:rsidRPr="00D81F5F">
        <w:rPr>
          <w:sz w:val="22"/>
        </w:rPr>
        <w:fldChar w:fldCharType="end"/>
      </w:r>
      <w:r w:rsidR="000E796E">
        <w:rPr>
          <w:sz w:val="22"/>
        </w:rPr>
        <w:t>.</w:t>
      </w:r>
      <w:r w:rsidRPr="00D81F5F">
        <w:rPr>
          <w:sz w:val="22"/>
        </w:rPr>
        <w:t xml:space="preserve"> In the Indonesian context, literature focusing on the impact of IoT implementation in the public sector is still limited, indicating the need for more locally relevant studies</w:t>
      </w:r>
      <w:r w:rsidRPr="00D81F5F">
        <w:rPr>
          <w:sz w:val="22"/>
        </w:rPr>
        <w:fldChar w:fldCharType="begin" w:fldLock="1"/>
      </w:r>
      <w:r w:rsidR="000E796E">
        <w:rPr>
          <w:sz w:val="22"/>
        </w:rPr>
        <w:instrText>ADDIN CSL_CITATION {"citationItems":[{"id":"ITEM-1","itemData":{"DOI":"10.1177/21582440231167343","ISSN":"21582440","abstract":"This paper analyzes how Digital Transformation (DT) processes have influenced the Attitude of local governments (LGs) toward the COVID-19 pandemic and their effect on achieving the United Nations’ Sustainable Development Goals (SDGs). The data were collected from LGs in Spain (n = 124) through a questionnaire in which the IT skills of their workers, the DT processes, budgets, degree of regulatory compliance, and implementation of trust seals were measured, together with the IT security measures adopted. The contrast between the proposed model and the results showed that the direct influence of IT security influences the government’s attitude toward COVID-19 and DT implementing actions to achieve SDGs. The findings of this work are of great value both for the actors involved in the design and implementation of public policies and for those responsible for local governance in their objective to improve citizens’ experience of the services provided and in exceptional situations such as the one experienced as a result, of-COVID-19.","author":[{"dropping-particle":"","family":"Palos-Sánchez","given":"Pedro R.","non-dropping-particle":"","parse-names":false,"suffix":""},{"dropping-particle":"","family":"Baena-Luna","given":"Pedro","non-dropping-particle":"","parse-names":false,"suffix":""},{"dropping-particle":"","family":"García-Ordaz","given":"Mercedes","non-dropping-particle":"","parse-names":false,"suffix":""},{"dropping-particle":"","family":"Martínez-López","given":"Francisco J.","non-dropping-particle":"","parse-names":false,"suffix":""}],"container-title":"SAGE Open","id":"ITEM-1","issue":"2","issued":{"date-parts":[["2023"]]},"language":"English","publisher":"SAGE Publications Inc.","publisher-place":"University of Seville, Spain","title":"Digital Transformation and Local Government Response to the COVID-19 Pandemic: An Assessment of Its Impact on the Sustainable Development Goals","type":"article-journal","volume":"13"},"uris":["http://www.mendeley.com/documents/?uuid=f0bbb2db-43bb-407c-99bb-babfd4803aad"]}],"mendeley":{"formattedCitation":"(Palos-Sánchez et al., 2023)","plainTextFormattedCitation":"(Palos-Sánchez et al., 2023)","previouslyFormattedCitation":"(Palos-Sánchez et al., 2023)"},"properties":{"noteIndex":0},"schema":"https://github.com/citation-style-language/schema/raw/master/csl-citation.json"}</w:instrText>
      </w:r>
      <w:r w:rsidRPr="00D81F5F">
        <w:rPr>
          <w:sz w:val="22"/>
        </w:rPr>
        <w:fldChar w:fldCharType="separate"/>
      </w:r>
      <w:r w:rsidR="000E796E" w:rsidRPr="000E796E">
        <w:rPr>
          <w:noProof/>
          <w:sz w:val="22"/>
        </w:rPr>
        <w:t>(Palos-Sánchez et al., 2023)</w:t>
      </w:r>
      <w:r w:rsidRPr="00D81F5F">
        <w:rPr>
          <w:sz w:val="22"/>
        </w:rPr>
        <w:fldChar w:fldCharType="end"/>
      </w:r>
    </w:p>
    <w:p w14:paraId="55852F93" w14:textId="77777777" w:rsidR="00CE35A4" w:rsidRPr="00D81F5F" w:rsidRDefault="00CE35A4" w:rsidP="00CE35A4">
      <w:pPr>
        <w:spacing w:line="360" w:lineRule="auto"/>
        <w:ind w:left="284"/>
        <w:rPr>
          <w:b/>
          <w:bCs/>
          <w:i/>
          <w:iCs/>
          <w:sz w:val="22"/>
        </w:rPr>
      </w:pPr>
      <w:r w:rsidRPr="00D81F5F">
        <w:rPr>
          <w:b/>
          <w:bCs/>
          <w:i/>
          <w:iCs/>
          <w:sz w:val="22"/>
        </w:rPr>
        <w:t>Organizational Transformation and Challenges in the Digital Age</w:t>
      </w:r>
    </w:p>
    <w:p w14:paraId="717F00E7" w14:textId="28E353FB" w:rsidR="00CE35A4" w:rsidRPr="00D81F5F" w:rsidRDefault="00CE35A4" w:rsidP="001813E2">
      <w:pPr>
        <w:spacing w:line="360" w:lineRule="auto"/>
        <w:ind w:left="284" w:firstLine="0"/>
        <w:rPr>
          <w:sz w:val="22"/>
        </w:rPr>
      </w:pPr>
      <w:r w:rsidRPr="00D81F5F">
        <w:rPr>
          <w:sz w:val="22"/>
        </w:rPr>
        <w:t>The success of digital transformation in the public sector depends not only on technology adoption, but also on structural adjustments and organizational culture</w:t>
      </w:r>
      <w:r w:rsidR="00FD6ED5">
        <w:rPr>
          <w:sz w:val="22"/>
        </w:rPr>
        <w:fldChar w:fldCharType="begin" w:fldLock="1"/>
      </w:r>
      <w:r w:rsidR="000E796E">
        <w:rPr>
          <w:sz w:val="22"/>
        </w:rPr>
        <w:instrText>ADDIN CSL_CITATION {"citationItems":[{"id":"ITEM-1","itemData":{"DOI":"10.1080/09540962.2023.2203869","ISSN":"14679302","abstract":"This article focuses on those organizational and individual factors that increase public managers’ belief in their proactive ability to pursue collective implementation of digital public services. Using social cognitive theory, the authors show that managers’ innovation-implementation efficacy is shaped within the context of the current massive digital transformation of public services. The study uncovers two organizational enablers (organizational climate for innovation and leader expectations for creativity), together with two individual enablers (creative self-efficacy and proactive behaviour). The findings suggest that creative self-efficacy partly mediates between an organizational climate for innovation and collective implementation efficacy. Additionally, leaders’ expectations for creativity and proactivity were found to be partly mediated between innovative climate and collective implementation efficacy.","author":[{"dropping-particle":"","family":"Vinarski-Peretz","given":"Hedva","non-dropping-particle":"","parse-names":false,"suffix":""},{"dropping-particle":"","family":"Kidron","given":"Aviv","non-dropping-particle":"","parse-names":false,"suffix":""}],"container-title":"Public Money and Management","id":"ITEM-1","issue":"5","issued":{"date-parts":[["2024"]]},"language":"English","page":"418-427","publisher":"Routledge","publisher-place":"The Max Stern Yezreel Valley College, Israel","title":"Antecedents of public managers’ collective implementation efficacy as they actualize new public services","type":"article-journal","volume":"44"},"uris":["http://www.mendeley.com/documents/?uuid=92f7e0d7-2c3b-404a-83b7-8a79c83595f1"]}],"mendeley":{"formattedCitation":"(Vinarski-Peretz &amp; Kidron, 2024)","plainTextFormattedCitation":"(Vinarski-Peretz &amp; Kidron, 2024)","previouslyFormattedCitation":"(Vinarski-Peretz &amp; Kidron, 2024)"},"properties":{"noteIndex":0},"schema":"https://github.com/citation-style-language/schema/raw/master/csl-citation.json"}</w:instrText>
      </w:r>
      <w:r w:rsidR="00FD6ED5">
        <w:rPr>
          <w:sz w:val="22"/>
        </w:rPr>
        <w:fldChar w:fldCharType="separate"/>
      </w:r>
      <w:r w:rsidR="000E796E" w:rsidRPr="000E796E">
        <w:rPr>
          <w:noProof/>
          <w:sz w:val="22"/>
        </w:rPr>
        <w:t>(Vinarski-Peretz &amp; Kidron, 2024)</w:t>
      </w:r>
      <w:r w:rsidR="00FD6ED5">
        <w:rPr>
          <w:sz w:val="22"/>
        </w:rPr>
        <w:fldChar w:fldCharType="end"/>
      </w:r>
      <w:r w:rsidR="000E796E">
        <w:rPr>
          <w:sz w:val="22"/>
        </w:rPr>
        <w:t>.</w:t>
      </w:r>
      <w:r w:rsidRPr="00D81F5F">
        <w:rPr>
          <w:sz w:val="22"/>
        </w:rPr>
        <w:t xml:space="preserve"> Digital skills development is essential to ensure public servants are able to utilize new technologies effectively</w:t>
      </w:r>
      <w:r w:rsidRPr="00D81F5F">
        <w:rPr>
          <w:sz w:val="22"/>
        </w:rPr>
        <w:fldChar w:fldCharType="begin" w:fldLock="1"/>
      </w:r>
      <w:r w:rsidR="000E796E">
        <w:rPr>
          <w:sz w:val="22"/>
        </w:rPr>
        <w:instrText>ADDIN CSL_CITATION {"citationItems":[{"id":"ITEM-1","itemData":{"DOI":"10.2478/nispa-2022-0012","ISSN":"13384309","abstract":"Rapid technological progress and its concomitant need for new skills, ways of working and collaborating, paired with dynamic socio-economic change, have highlighted the main challenge facing Europe's urban municipalities. Being the part of the public sector closest to citizens and their needs, the challenge addresses digital transformation's goals to support and promote broader growth in the digital domain optimally and to realise digital transformation benefits such as user-friendly and citizen-centred services, increased quality of life and better business environments. Urban municipalities must identify local strengths, priorities and needs, including performance and digital maturity assessment, and define strategic goals and implementation roadmaps to implement digital transformation optimally. Furthermore, they must increase city administration, decision-maker and citizens awareness of the opportunities and benefits digitally enabled solutions offer. A comprehensive digital maturity self-Assessment is the first step towards successful digital transformation. An example of a framework for such an assessment is the framework of the European Commission's Intelligent Cities Challenge (ICC), the EU's bespoke support programme for coaching, facilitation and inspiration, and successor to its Digital Cities Challenge. Therefore, the objective of our research was to analyse the digital maturity self-Assessment results undertaken by eleven Slovenian urban municipalities utilising ICC's assessment methodology framework for government services and social connectivity, which includes indicators sets of digitising public services, digital connectivity and open data. We further focused on the potential impact of municipality population size on its digital maturity. According to the existing research, this is one of the significant potential explanatory factors why municipalities differ in terms of digital transformation implementation and adaptation. One would a priori expect larger municipalities to be digitally more mature than smaller ones because they have more resources at their disposal, however, our results prove that this is not the complete picture. There is, however, a relationship between municipality population size and digital maturity, including indicators of open data sharing and security, but not entirely in the manner expected. Furthermore, our analysis has shown that municipality population size does not influence overall digital maturity but in…","author":[{"dropping-particle":"","family":"Debeljak","given":"Arian","non-dropping-particle":"","parse-names":false,"suffix":""},{"dropping-particle":"","family":"Dečman","given":"Mitja","non-dropping-particle":"","parse-names":false,"suffix":""}],"container-title":"NISPAcee Journal of Public Administration and Policy","id":"ITEM-1","issue":"2","issued":{"date-parts":[["2022"]]},"language":"English","page":"25-51","publisher":"Sciendo","publisher-place":"University of Ljubljana, Faculty of Public Administration and University of Rijeka, Faculty of Economics and Business, Rijeka, Croatia","title":"Digital Transformation of Slovenian Urban Municipalities: A Quantitative Report on the Impact of Municipality Population Size on Digital Maturity","type":"article-journal","volume":"15"},"uris":["http://www.mendeley.com/documents/?uuid=7ebbb805-e1bd-441c-8e6a-9148e0a17552"]}],"mendeley":{"formattedCitation":"(Debeljak &amp; Dečman, 2022)","plainTextFormattedCitation":"(Debeljak &amp; Dečman, 2022)","previouslyFormattedCitation":"(Debeljak &amp; Dečman, 2022)"},"properties":{"noteIndex":0},"schema":"https://github.com/citation-style-language/schema/raw/master/csl-citation.json"}</w:instrText>
      </w:r>
      <w:r w:rsidRPr="00D81F5F">
        <w:rPr>
          <w:sz w:val="22"/>
        </w:rPr>
        <w:fldChar w:fldCharType="separate"/>
      </w:r>
      <w:r w:rsidR="000E796E" w:rsidRPr="000E796E">
        <w:rPr>
          <w:noProof/>
          <w:sz w:val="22"/>
        </w:rPr>
        <w:t>(Debeljak &amp; Dečman, 2022)</w:t>
      </w:r>
      <w:r w:rsidRPr="00D81F5F">
        <w:rPr>
          <w:sz w:val="22"/>
        </w:rPr>
        <w:fldChar w:fldCharType="end"/>
      </w:r>
      <w:r w:rsidR="000E796E">
        <w:rPr>
          <w:sz w:val="22"/>
        </w:rPr>
        <w:t>.</w:t>
      </w:r>
      <w:r w:rsidRPr="00D81F5F">
        <w:rPr>
          <w:sz w:val="22"/>
        </w:rPr>
        <w:t xml:space="preserve"> However, in Indonesia, digital skills training is still uneven, especially in more remote areas, leading to a technology adoption gap between central and local governments</w:t>
      </w:r>
      <w:r w:rsidRPr="00D81F5F">
        <w:rPr>
          <w:sz w:val="22"/>
        </w:rPr>
        <w:fldChar w:fldCharType="begin" w:fldLock="1"/>
      </w:r>
      <w:r w:rsidR="000E796E">
        <w:rPr>
          <w:sz w:val="22"/>
        </w:rPr>
        <w:instrText>ADDIN CSL_CITATION {"citationItems":[{"id":"ITEM-1","itemData":{"DOI":"10.3390/su151813798","ISSN":"20711050","abstract":"The main purpose of this study was to examine how digitalisation with a mediating role of training influences banking performance and further how banking performance helps in realisation of specific sustainable development goals (SDGs). Data were gathered from 402 employees from public, private, and foreign sector banks. Digital culture, digital technologies, and digital skillsets are the sub-scales of digitalisation. For training, three types of training (on the job training, off the job training, and special training) were considered. Banking performance was measured through balanced score card covering customer, financial, internal business process, and innovation and learning perspective. This study considered SDG1: eradication of poverty; SDG5: gender equality; and SDG8: economic growth and decent work. Partial Least Square-Structural Equation Modelling was used to examine relationship among digitalisation, training, banking performance, and the realisation of specific sustainable development goals (SDG1, SDG5, and SDG8). The results highlighted that digitalisation has a positive association with training and with banking performance (with β values of 0.692 and 0.531). The direct effect of digitalisation on banking performance (with β value is 0.316) was significant; however, the effect was enhanced when training was used as a mediating variable between digitalisation and banking performance (β: 0.367). Furthermore, the results suggest that banking performance has a positive association with realisation of specific SDGs (β: 0.867). In the designed model, it can be seen that the predictors (digitalisation and training) explained 61.1 percent of banking performance. This paper, by combining digitalisation and training with banking performance, provided an integrated approach to contribute towards the realisation of sustainable development goals (SDG1, SDG5, and SDG8). The final integrated model with digitalisation, training, and banking performance as predictors explained 75.6% of variation in exogenous variable, i.e., the realisation of specific SDGs. The results indicate an important role of digitalisation and training in scaling up banking performance for the realisation of specific SDGs.","author":[{"dropping-particle":"","family":"Bahl","given":"Kayenaat","non-dropping-particle":"","parse-names":false,"suffix":""},{"dropping-particle":"","family":"Kiran","given":"Ravi","non-dropping-particle":"","parse-names":false,"suffix":""},{"dropping-particle":"","family":"Sharma","given":"Anupam","non-dropping-particle":"","parse-names":false,"suffix":""}],"container-title":"Sustainability (Switzerland)","id":"ITEM-1","issue":"18","issued":{"date-parts":[["2023"]]},"language":"English","publisher":"Multidisciplinary Digital Publishing Institute (MDPI)","publisher-place":"School of Humanities and Social Sciences, Thapar Institute of Engineering and Technology (Deemed to Be University), Punjab, Patiala, 147004, India","title":"Scaling Up Banking Performance for the Realisation of Specific Sustainable Development Goals: The Interplay of Digitalisation and Training in the Transformation Journey","type":"article-journal","volume":"15"},"uris":["http://www.mendeley.com/documents/?uuid=c6d60fd0-e845-4992-b464-e1becfb481a0"]}],"mendeley":{"formattedCitation":"(Bahl et al., 2023)","plainTextFormattedCitation":"(Bahl et al., 2023)","previouslyFormattedCitation":"(Bahl et al., 2023)"},"properties":{"noteIndex":0},"schema":"https://github.com/citation-style-language/schema/raw/master/csl-citation.json"}</w:instrText>
      </w:r>
      <w:r w:rsidRPr="00D81F5F">
        <w:rPr>
          <w:sz w:val="22"/>
        </w:rPr>
        <w:fldChar w:fldCharType="separate"/>
      </w:r>
      <w:r w:rsidR="000E796E" w:rsidRPr="000E796E">
        <w:rPr>
          <w:noProof/>
          <w:sz w:val="22"/>
        </w:rPr>
        <w:t>(Bahl et al., 2023)</w:t>
      </w:r>
      <w:r w:rsidRPr="00D81F5F">
        <w:rPr>
          <w:sz w:val="22"/>
        </w:rPr>
        <w:fldChar w:fldCharType="end"/>
      </w:r>
      <w:r w:rsidR="000E796E">
        <w:rPr>
          <w:sz w:val="22"/>
        </w:rPr>
        <w:t>.</w:t>
      </w:r>
      <w:r w:rsidRPr="00D81F5F">
        <w:rPr>
          <w:sz w:val="22"/>
        </w:rPr>
        <w:t xml:space="preserve"> Agile methodologies can help government organizations respond more quickly to change, although adoption is still limited due to rigid bureaucracy</w:t>
      </w:r>
      <w:r w:rsidRPr="00D81F5F">
        <w:rPr>
          <w:sz w:val="22"/>
        </w:rPr>
        <w:fldChar w:fldCharType="begin" w:fldLock="1"/>
      </w:r>
      <w:r w:rsidR="000E796E">
        <w:rPr>
          <w:sz w:val="22"/>
        </w:rPr>
        <w:instrText>ADDIN CSL_CITATION {"citationItems":[{"id":"ITEM-1","itemData":{"DOI":"10.1108/ITP-08-2018-0373","ISSN":"09593845","abstract":"Purpose: Digital transformation projects are complex, lengthy and difficult to implement, often failing to meet their objectives. Previous research has attributed this failure to competing institutional logics influencing actors’ coping responses, and differences in actors’ interpretations of the project’s goals, technology and processes - their “organising vision”. The purpose of this paper is to analyse a complex technology implementation project from an institutional perspective, to further elucidate the role of multiple logics and organising vision. Design/methodology/approach: A qualitative single study approach was used to investigate a public-sector technology project aimed at delivering a unified Human resource information system (HRIS) across regional health organisations in one country. Findings: Four logics characterised the project (public sector, professional, corporate and market), but their relative dominance shifted as the project transitioned through stages, from comprehension to implementation. These shifts exposed tensions between components of actors’ organising vision, which influenced their coping behaviours in response to unexpected changes in the project’s strategic ambitions and technological scope. Coherence of vision, both within groups of actors and between them, was a key mediator of coping responses and project outcomes. Originality/value: This analysis demonstrates the role of actors’ organising vision in bridging institutional logics and coping responses to shape digital transformation projects. It highlights the need to account not only for diverse institutional logics, but also for their changing influence as projects unfold and actors’ attention is directed onto different aspects of the organising vision. From a management perspective, it illustrates the importance of clear and consistent communication, to avoid entrenching conflicting interpretations.","author":[{"dropping-particle":"","family":"Bunduchi","given":"Raluca","non-dropping-particle":"","parse-names":false,"suffix":""},{"dropping-particle":"","family":"Tursunbayeva","given":"Aizhan","non-dropping-particle":"","parse-names":false,"suffix":""},{"dropping-particle":"","family":"Pagliari","given":"Claudia","non-dropping-particle":"","parse-names":false,"suffix":""}],"container-title":"Information Technology and People","id":"ITEM-1","issue":"1","issued":{"date-parts":[["2020"]]},"language":"English","page":"311-339","publisher":"Emerald Group Holdings Ltd.","publisher-place":"Business School, University of Edinburgh Business School, Edinburgh, United Kingdom","title":"Coping with institutional complexity: Intersecting logics and dissonant visions in a nation-wide healthcare IT implementation project","type":"article-journal","volume":"33"},"uris":["http://www.mendeley.com/documents/?uuid=f5463a1e-7d17-4f9e-bd0c-43d3bbea45aa"]}],"mendeley":{"formattedCitation":"(Bunduchi et al., 2020)","plainTextFormattedCitation":"(Bunduchi et al., 2020)","previouslyFormattedCitation":"(Bunduchi et al., 2020)"},"properties":{"noteIndex":0},"schema":"https://github.com/citation-style-language/schema/raw/master/csl-citation.json"}</w:instrText>
      </w:r>
      <w:r w:rsidRPr="00D81F5F">
        <w:rPr>
          <w:sz w:val="22"/>
        </w:rPr>
        <w:fldChar w:fldCharType="separate"/>
      </w:r>
      <w:r w:rsidR="000E796E" w:rsidRPr="000E796E">
        <w:rPr>
          <w:noProof/>
          <w:sz w:val="22"/>
        </w:rPr>
        <w:t>(Bunduchi et al., 2020)</w:t>
      </w:r>
      <w:r w:rsidRPr="00D81F5F">
        <w:rPr>
          <w:sz w:val="22"/>
        </w:rPr>
        <w:fldChar w:fldCharType="end"/>
      </w:r>
    </w:p>
    <w:p w14:paraId="293E7C62" w14:textId="7B662F90" w:rsidR="00D81F5F" w:rsidRPr="00D81F5F" w:rsidRDefault="00CE35A4" w:rsidP="000E796E">
      <w:pPr>
        <w:spacing w:line="360" w:lineRule="auto"/>
        <w:ind w:left="284" w:firstLine="0"/>
        <w:rPr>
          <w:sz w:val="22"/>
        </w:rPr>
      </w:pPr>
      <w:r w:rsidRPr="00D81F5F">
        <w:rPr>
          <w:sz w:val="22"/>
        </w:rPr>
        <w:t>Resistance to change is a major challenge in digital transformation, especially in developing countries such as Indonesia, where understanding of the long-term benefits of digitalization is still minimal</w:t>
      </w:r>
      <w:r w:rsidRPr="00D81F5F">
        <w:rPr>
          <w:sz w:val="22"/>
        </w:rPr>
        <w:fldChar w:fldCharType="begin" w:fldLock="1"/>
      </w:r>
      <w:r w:rsidR="000E796E">
        <w:rPr>
          <w:sz w:val="22"/>
        </w:rPr>
        <w:instrText>ADDIN CSL_CITATION {"citationItems":[{"id":"ITEM-1","itemData":{"DOI":"10.1108/ITP-02-2023-0176","ISSN":"09593845","abstract":"Purpose: While the potential for digital innovation (DI) to transform organizational practices is widely acknowledged in the information systems (IS) literature, there is very limited understanding on the socio-political nature of institutional interactions that determine DI and affect organizational practices in social cash organizations. Drawing on the neo-institutionalist vision, the purpose of the study is to examine the unique set of institutional exchanges that influence the transition to digital social cash payments that give rise to new institutional arrangements in social cash organizations. Design/methodology/approach: The paper draws on an in-depth case study of a government social cash organization in Pakistan. Qualitative data were collected using 30 semi-structured interviews from key organizational members and stakeholders. Findings: The results suggest that DI is determined by the novel intersections between the coercive (techno-economic, regulatory), normative (socio-organizational), mimetic (international) and covert power (political) forces. Hence, DI is not a technologically deterministic output, but rather a complex socio-political process enacted through dialogue, negotiation and conflict between institutional actors. Technology is socially embedded through the process of institutionalization that is coupled by the deinstitutionalization of established organizational practices for progressive transformation. Research limitations/implications: The research has implications for government social cash organizations especially in the Global South. Empirically, the authors gained rare access to, and support from a government-backed social cash organization in Pakistan (an understudied country in the Global South), which made the data and the consequent analyses even invaluable. This made the empirical contribution within this geographical setting even more worthy, since this case study has received little attention from indigenous scholars in the past. The empirical findings showcased a unique set of contextual factors that were subject to BISP and interpreted through an account of socio-cultural sensitivities. Practical implications: The paper provides practical implications for policymakers and practitioners, emphasizing the need to address institutional challenges, including covert power, during the implementation of digitalization projects in the public sector. The paper has certain potential for inspiring future e-government relate…","author":[{"dropping-particle":"","family":"Kemal","given":"Atika Ahmad","non-dropping-particle":"","parse-names":false,"suffix":""},{"dropping-particle":"","family":"Shah","given":"Mahmood Hussain","non-dropping-particle":"","parse-names":false,"suffix":""}],"container-title":"Information Technology and People","id":"ITEM-1","issue":"5","issued":{"date-parts":[["2023"]]},"language":"English","page":"2092-2126","publisher":"Emerald Publishing","publisher-place":"Essex Business School, University of Essex, Colchester, United Kingdom","title":"Digital innovation in social cash organizations – the effects of the institutional interactions for transforming organizational practices","type":"article-journal","volume":"37"},"uris":["http://www.mendeley.com/documents/?uuid=aed751e1-893a-41e2-becb-d364a066b8f2"]}],"mendeley":{"formattedCitation":"(Kemal &amp; Shah, 2023)","plainTextFormattedCitation":"(Kemal &amp; Shah, 2023)","previouslyFormattedCitation":"(Kemal &amp; Shah, 2023)"},"properties":{"noteIndex":0},"schema":"https://github.com/citation-style-language/schema/raw/master/csl-citation.json"}</w:instrText>
      </w:r>
      <w:r w:rsidRPr="00D81F5F">
        <w:rPr>
          <w:sz w:val="22"/>
        </w:rPr>
        <w:fldChar w:fldCharType="separate"/>
      </w:r>
      <w:r w:rsidR="000E796E" w:rsidRPr="000E796E">
        <w:rPr>
          <w:noProof/>
          <w:sz w:val="22"/>
        </w:rPr>
        <w:t>(Kemal &amp; Shah, 2023)</w:t>
      </w:r>
      <w:r w:rsidRPr="00D81F5F">
        <w:rPr>
          <w:sz w:val="22"/>
        </w:rPr>
        <w:fldChar w:fldCharType="end"/>
      </w:r>
      <w:r w:rsidR="000E796E">
        <w:rPr>
          <w:sz w:val="22"/>
        </w:rPr>
        <w:t>.</w:t>
      </w:r>
      <w:r w:rsidRPr="00D81F5F">
        <w:rPr>
          <w:sz w:val="22"/>
        </w:rPr>
        <w:t xml:space="preserve"> This is exacerbated by infrastructure limitations and mindsets that are not ready to adopt change widely</w:t>
      </w:r>
      <w:r w:rsidRPr="00D81F5F">
        <w:rPr>
          <w:sz w:val="22"/>
        </w:rPr>
        <w:fldChar w:fldCharType="begin" w:fldLock="1"/>
      </w:r>
      <w:r w:rsidR="000E796E">
        <w:rPr>
          <w:sz w:val="22"/>
        </w:rPr>
        <w:instrText>ADDIN CSL_CITATION {"citationItems":[{"id":"ITEM-1","itemData":{"DOI":"10.1016/j.trpro.2023.11.564","ISSN":"23521465","abstract":"Enterprise Architecture Management (EAM) could play a key role in keeping up with and driving the digital transformation of the German road infrastructure management. With digital engineering technologies advancing and being deployed more widespread, information systems and information technology should be structured in a strategic manner to facilitate interorganizational cooperation and data flows. Established EAM frameworks are complex and generic and not apt for ad hoc application. In order to make EAM more accessible for road infrastructure management initial steps towards the development of a tailored approach are presented. Finally, outlining EAM's possible future relevance in enabling digital transformation, examples for areas in which it is applicable or already being applied are presented and put into context.","author":[{"dropping-particle":"","family":"Werner","given":"Teresa","non-dropping-particle":"","parse-names":false,"suffix":""},{"dropping-particle":"","family":"Lehan","given":"Anne","non-dropping-particle":"","parse-names":false,"suffix":""}],"container-title":"Transportation Research Procedia","id":"ITEM-1","issued":{"date-parts":[["2023"]]},"page":"1098-1104","title":"Enterprise Architecture Management (EAM) as a fundamental approach for the digital transformation of the German road infrastructure management","type":"article-journal","volume":"72"},"uris":["http://www.mendeley.com/documents/?uuid=956a312e-8cb1-4a9a-b854-00a089c5f916"]}],"mendeley":{"formattedCitation":"(Werner &amp; Lehan, 2023)","plainTextFormattedCitation":"(Werner &amp; Lehan, 2023)","previouslyFormattedCitation":"(Werner &amp; Lehan, 2023)"},"properties":{"noteIndex":0},"schema":"https://github.com/citation-style-language/schema/raw/master/csl-citation.json"}</w:instrText>
      </w:r>
      <w:r w:rsidRPr="00D81F5F">
        <w:rPr>
          <w:sz w:val="22"/>
        </w:rPr>
        <w:fldChar w:fldCharType="separate"/>
      </w:r>
      <w:r w:rsidR="000E796E" w:rsidRPr="000E796E">
        <w:rPr>
          <w:noProof/>
          <w:sz w:val="22"/>
        </w:rPr>
        <w:t>(Werner &amp; Lehan, 2023)</w:t>
      </w:r>
      <w:r w:rsidRPr="00D81F5F">
        <w:rPr>
          <w:sz w:val="22"/>
        </w:rPr>
        <w:fldChar w:fldCharType="end"/>
      </w:r>
      <w:r w:rsidR="000E796E">
        <w:rPr>
          <w:sz w:val="22"/>
        </w:rPr>
        <w:t>.</w:t>
      </w:r>
      <w:r w:rsidRPr="00D81F5F">
        <w:rPr>
          <w:sz w:val="22"/>
        </w:rPr>
        <w:t xml:space="preserve"> Therefore, policies that support organizational change and intensive training are necessary to overcome these obstacles</w:t>
      </w:r>
      <w:r w:rsidRPr="00D81F5F">
        <w:rPr>
          <w:sz w:val="22"/>
        </w:rPr>
        <w:fldChar w:fldCharType="begin" w:fldLock="1"/>
      </w:r>
      <w:r w:rsidR="000E796E">
        <w:rPr>
          <w:sz w:val="22"/>
        </w:rPr>
        <w:instrText>ADDIN CSL_CITATION {"citationItems":[{"id":"ITEM-1","itemData":{"DOI":"10.3390/su15118741","ISSN":"20711050","abstract":"Digital transformation within local public administration is often conceived as the result of technological advancements, with scarce attention being paid to framing these processes within multi-level organisational settings. Against this background, this article introduces a framework for exploring the different dimensions of digital innovation in the public sector at the urban scale. It proposes conceptual categories that capture digital transformation drivers and mechanisms, encouraging reflections about their capacity to resonate in specific (urban) contexts. After examining frameworks seeking to deconstruct digital transformation in its multiple dimensions, the study proposes a conceptual model and validates it against the result of the literature review. By identifying conceptual categories and their interactions, the study seeks to support a more comprehensive understanding of transformation processes, specifically focusing on public service provision and delivery and their relationship with endogenous and exogenous innovation drivers. At the same time, the study aims to support local public authorities in gaining awareness of their transformative potential and helping them “steer” local digital transformation dynamics.","author":[{"dropping-particle":"","family":"Mariani","given":"Ilaria","non-dropping-particle":"","parse-names":false,"suffix":""},{"dropping-particle":"","family":"Bianchi","given":"Irene","non-dropping-particle":"","parse-names":false,"suffix":""}],"container-title":"Sustainability (Switzerland)","id":"ITEM-1","issue":"11","issued":{"date-parts":[["2023"]]},"language":"English","publisher":"MDPI","publisher-place":"Department of Design, Politecnico di Milano, Milan, 20158, Italy","title":"Conceptualising Digital Transformation in Cities: A Multi-Dimensional Framework for the Analysis of Public Sector Innovation","type":"article-journal","volume":"15"},"uris":["http://www.mendeley.com/documents/?uuid=fb20ec6e-631d-4fb8-8b5d-81e0bc8e11cd"]}],"mendeley":{"formattedCitation":"(Mariani &amp; Bianchi, 2023)","plainTextFormattedCitation":"(Mariani &amp; Bianchi, 2023)","previouslyFormattedCitation":"(Mariani &amp; Bianchi, 2023)"},"properties":{"noteIndex":0},"schema":"https://github.com/citation-style-language/schema/raw/master/csl-citation.json"}</w:instrText>
      </w:r>
      <w:r w:rsidRPr="00D81F5F">
        <w:rPr>
          <w:sz w:val="22"/>
        </w:rPr>
        <w:fldChar w:fldCharType="separate"/>
      </w:r>
      <w:r w:rsidR="000E796E" w:rsidRPr="000E796E">
        <w:rPr>
          <w:noProof/>
          <w:sz w:val="22"/>
        </w:rPr>
        <w:t>(Mariani &amp; Bianchi, 2023)</w:t>
      </w:r>
      <w:r w:rsidRPr="00D81F5F">
        <w:rPr>
          <w:sz w:val="22"/>
        </w:rPr>
        <w:fldChar w:fldCharType="end"/>
      </w:r>
    </w:p>
    <w:p w14:paraId="6991FF26" w14:textId="77777777" w:rsidR="00CE35A4" w:rsidRPr="00D81F5F" w:rsidRDefault="00CE35A4" w:rsidP="00CE35A4">
      <w:pPr>
        <w:spacing w:line="360" w:lineRule="auto"/>
        <w:ind w:left="284"/>
        <w:rPr>
          <w:b/>
          <w:bCs/>
          <w:i/>
          <w:iCs/>
          <w:sz w:val="22"/>
        </w:rPr>
      </w:pPr>
      <w:r w:rsidRPr="00D81F5F">
        <w:rPr>
          <w:b/>
          <w:bCs/>
          <w:i/>
          <w:iCs/>
          <w:sz w:val="22"/>
        </w:rPr>
        <w:t>Innovation in Government Digital Service Delivery</w:t>
      </w:r>
    </w:p>
    <w:p w14:paraId="20F642F4" w14:textId="0CBB0495" w:rsidR="00CE35A4" w:rsidRPr="00D81F5F" w:rsidRDefault="00CE35A4" w:rsidP="001813E2">
      <w:pPr>
        <w:spacing w:line="360" w:lineRule="auto"/>
        <w:ind w:left="284" w:firstLine="0"/>
        <w:rPr>
          <w:sz w:val="22"/>
        </w:rPr>
      </w:pPr>
      <w:r w:rsidRPr="00D81F5F">
        <w:rPr>
          <w:sz w:val="22"/>
        </w:rPr>
        <w:t>Innovations in digital service delivery by the government have facilitated interactions between citizens and the government. Digital portals and mobile applications allow citizens to access government services directly without having to visit government offices</w:t>
      </w:r>
      <w:r w:rsidRPr="00D81F5F">
        <w:rPr>
          <w:sz w:val="22"/>
        </w:rPr>
        <w:fldChar w:fldCharType="begin" w:fldLock="1"/>
      </w:r>
      <w:r w:rsidR="000E796E">
        <w:rPr>
          <w:sz w:val="22"/>
        </w:rPr>
        <w:instrText>ADDIN CSL_CITATION {"citationItems":[{"id":"ITEM-1","itemData":{"DOI":"10.30641/dejure.2016.v16.231-244","ISSN":"1410-5632","abstract":"Since 2008, Indonesia has started a new momentum in the era of openness, related to the passing of Law No. 14 of 2008 on Public Information (KIP). Disclosure of public information is very important because people can control every step and measures taken by the government, especially the Public Agency. Operation of power in a democratic country should at all times be accountable back to the community. Accountability brings to the good governance that leads to the guarantee of human rights (HAM). Public disclosure is an important part of public service is also a right that is very important and strategic for citizens to get access to other rights, because of how it might be to get the rights and other services properly obtained information regarding such rights it is not obtained appropriately and correctly. The poor performance of public services for, among others, have not been implemented because of transparency and participation in public service delivery. This paper attempts to explain the correlation and importance of the right to information of the public service.Keywords: Public Service, Transparency, Participation, Accountabilitys ABSTRAKSejak Tahun 2008, Indonesia telah memulai sebuah momentum baru dalam era keterbukaan, terkait dengan disahkannya Undang-Undang Nomor 14 Tahun 2008 Tentang Keterbukaan Informasi Publik (KIP). Keterbukaan informasi publik sangat penting oleh karena masyarakat dapat mengontrol setiap langkah dan kebijakan yang diambil oleh Badan Publik terutama pemerintah. Penyelenggaraan kekuasaan dalam negara demokrasi harus setiap saat dapat dipertanggungjawabkan kembali kepada masyarakat. Akuntabilitas membawa ke tata pemerintahan yang baik yang bermuara pada jaminan hak asasi manusia (HAM). Keterbukaan informasi publik merupakan bagian penting dari penyelenggaraan pelayanan publik juga merupakan hak yang sangat penting dan strategis bagi warga negara untuk menuju akses terhadap hak-hak lainnya, karena bagaimana mungkin akan mendapatkan hak dan pelayanan lainnya dengan baik jika informasi yang diperoleh mengenai hak-hak tersebut tidaklah didapatkan secara tepat dan benar.Buruknya kinerja pelayanan publik selama ini antara lain dikarenakan belum dilaksanakannya transparansi dan partisipasi dalam penyelenggaraan pelayanan publik. Tulisan ini mencoba menjelaskan korelasi dan pentingnya hak atas informasi terhadap penyelenggaraan pelayanan publik.Kata Kunci: Pelayanan Publik, Transparansi, Partisipasi, Akuntabilitas","author":[{"dropping-particle":"","family":"Kristiyanto","given":"Eko Noer","non-dropping-particle":"","parse-names":false,"suffix":""}],"container-title":"Jurnal Penelitian Hukum De Jure","id":"ITEM-1","issue":"2","issued":{"date-parts":[["2016"]]},"page":"231","publisher":"ejournal.balitbangham.go.id","title":"Urgensi Keterbukaan Informasi dalam Penyelenggaraan Pelayanan Publik (Urgency of Disclosure of Informationin The Implementation of Public Service)","type":"article-journal","volume":"16"},"uris":["http://www.mendeley.com/documents/?uuid=420c9f17-cafb-44d3-a87b-a1ad71803ba7"]}],"mendeley":{"formattedCitation":"(Kristiyanto, 2016)","plainTextFormattedCitation":"(Kristiyanto, 2016)","previouslyFormattedCitation":"(Kristiyanto, 2016)"},"properties":{"noteIndex":0},"schema":"https://github.com/citation-style-language/schema/raw/master/csl-citation.json"}</w:instrText>
      </w:r>
      <w:r w:rsidRPr="00D81F5F">
        <w:rPr>
          <w:sz w:val="22"/>
        </w:rPr>
        <w:fldChar w:fldCharType="separate"/>
      </w:r>
      <w:r w:rsidR="000E796E" w:rsidRPr="000E796E">
        <w:rPr>
          <w:noProof/>
          <w:sz w:val="22"/>
        </w:rPr>
        <w:t>(Kristiyanto, 2016)</w:t>
      </w:r>
      <w:r w:rsidRPr="00D81F5F">
        <w:rPr>
          <w:sz w:val="22"/>
        </w:rPr>
        <w:fldChar w:fldCharType="end"/>
      </w:r>
      <w:r w:rsidR="000E796E">
        <w:rPr>
          <w:sz w:val="22"/>
        </w:rPr>
        <w:t>.</w:t>
      </w:r>
      <w:r w:rsidRPr="00D81F5F">
        <w:rPr>
          <w:sz w:val="22"/>
        </w:rPr>
        <w:t xml:space="preserve"> Chatbots are also being used to provide more responsive and personalized public services, reducing citizens' waiting time for information</w:t>
      </w:r>
      <w:r w:rsidRPr="00D81F5F">
        <w:rPr>
          <w:sz w:val="22"/>
        </w:rPr>
        <w:fldChar w:fldCharType="begin" w:fldLock="1"/>
      </w:r>
      <w:r w:rsidR="000E796E">
        <w:rPr>
          <w:sz w:val="22"/>
        </w:rPr>
        <w:instrText>ADDIN CSL_CITATION {"citationItems":[{"id":"ITEM-1","itemData":{"abstract":"Digitizing services helps governments meet public expectations and become more efficient and resilient. Government data for service delivery is exchanged seamlessly, and residents can monitor who has accessed their information via their account on the national service portal. A scalable IT architecture to deliver results for users - quickly and cheaply To create a delightful user experience, speed up IT delivery, and simplify back-end integration, governments must streamline enterprise IT architecture across the public sector (Exhibit 3). Governments that aim to implement the \"once only\" principle - that is, prefilling forms or automatically checking supporting information so that users only need to input their information once - should also establish an integrated regime for data management across the public sector. [Extracted from the article]","author":[{"dropping-particle":"","family":"Daub","given":"Matthias","non-dropping-particle":"","parse-names":false,"suffix":""},{"dropping-particle":"","family":"Domeyer","given":"Axel","non-dropping-particle":"","parse-names":false,"suffix":""},{"dropping-particle":"","family":"Lamaa","given":"Abdulkader","non-dropping-particle":"de","parse-names":false,"suffix":""},{"dropping-particle":"","family":"Renz","given":"Frauke","non-dropping-particle":"","parse-names":false,"suffix":""}],"container-title":"McKinsey Insights","id":"ITEM-1","issue":"July","issued":{"date-parts":[["2020"]]},"page":"N.PAG-N.PAG","title":"Digital public services: How to achieve fast transformation at scale","type":"article-journal"},"uris":["http://www.mendeley.com/documents/?uuid=de76d09c-6a7a-4242-9ac2-4b3f855b604a"]}],"mendeley":{"formattedCitation":"(Daub et al., 2020)","plainTextFormattedCitation":"(Daub et al., 2020)","previouslyFormattedCitation":"(Daub et al., 2020)"},"properties":{"noteIndex":0},"schema":"https://github.com/citation-style-language/schema/raw/master/csl-citation.json"}</w:instrText>
      </w:r>
      <w:r w:rsidRPr="00D81F5F">
        <w:rPr>
          <w:sz w:val="22"/>
        </w:rPr>
        <w:fldChar w:fldCharType="separate"/>
      </w:r>
      <w:r w:rsidR="000E796E" w:rsidRPr="000E796E">
        <w:rPr>
          <w:noProof/>
          <w:sz w:val="22"/>
        </w:rPr>
        <w:t>(Daub et al., 2020)</w:t>
      </w:r>
      <w:r w:rsidRPr="00D81F5F">
        <w:rPr>
          <w:sz w:val="22"/>
        </w:rPr>
        <w:fldChar w:fldCharType="end"/>
      </w:r>
    </w:p>
    <w:p w14:paraId="22733E91" w14:textId="0FB2EEEE" w:rsidR="00CE35A4" w:rsidRPr="00D81F5F" w:rsidRDefault="00CE35A4" w:rsidP="001813E2">
      <w:pPr>
        <w:spacing w:line="360" w:lineRule="auto"/>
        <w:ind w:left="284" w:firstLine="0"/>
        <w:rPr>
          <w:sz w:val="22"/>
        </w:rPr>
      </w:pPr>
      <w:r w:rsidRPr="00D81F5F">
        <w:rPr>
          <w:sz w:val="22"/>
        </w:rPr>
        <w:t>However, the digital divide between urban and rural areas in Indonesia is still a major barrier to the equitable deployment of digital services</w:t>
      </w:r>
      <w:r w:rsidRPr="00D81F5F">
        <w:rPr>
          <w:sz w:val="22"/>
        </w:rPr>
        <w:fldChar w:fldCharType="begin" w:fldLock="1"/>
      </w:r>
      <w:r w:rsidR="000E796E">
        <w:rPr>
          <w:sz w:val="22"/>
        </w:rPr>
        <w:instrText>ADDIN CSL_CITATION {"citationItems":[{"id":"ITEM-1","itemData":{"DOI":"10.1080/15228835.2023.2263494","ISSN":"15228991","abstract":"The optimization of the human-centeredness of technological innovations–policy digitalization - has exceedingly proliferated in most policy sectors. Yet, a few studies exist on the implications of digital policy tools in realizing social protection policies for older people, particularly in Africa. This paper discusses this issue. It examines data on the ‘digital capabilities’ of older persons and how digital technologies impact their usage and access to social safety net programs in Kenya, where digital policy tools like mHealth and e-Payment platforms are used to realize them. The data collection involved interviews with 81 respondents between 65-90 years of age (individuals targeted by social safety net programs and Social Protection officers). Findings show a need for more robust and policy target-sensitive efforts and budget allocation to overcome policy digitalization challenges, especially those arising from structural governance inequalities or older people’s capability deficits that underpin digital transformation pathways for different policy targets. Most older people in rural areas have negative attitudes and low user digital capabilities toward digital services. This is partly due to a range of challenges from infrastructural deficiencies, low access to internet resources to inadequate policy communication around digital tools. However, higher digital capabilities of policy targets and positive societal attitudes toward digital platforms could improve effective ‘public policy digitalization’ with more targeted investments and user-sensitive designs in place.","author":[{"dropping-particle":"","family":"Onyango","given":"Gedion","non-dropping-particle":"","parse-names":false,"suffix":""},{"dropping-particle":"","family":"Ondiek","given":"Japheth Otieno","non-dropping-particle":"","parse-names":false,"suffix":""}],"container-title":"Journal of Technology in Human Services","id":"ITEM-1","issue":"4","issued":{"date-parts":[["2023"]]},"language":"English","page":"348-375","publisher":"Routledge","publisher-place":"Firoz Lalji Institute for Africa, London School of Economics and Political Science, London, United Kingdom","title":"Digitalising analogue policy targets! ‘Digital capabilities’ of older persons and policy digitalisation of social safety net programs in a developing country context","type":"article-journal","volume":"41"},"uris":["http://www.mendeley.com/documents/?uuid=1f8d5286-8965-4d1d-9773-fec1fcf128fe"]}],"mendeley":{"formattedCitation":"(Onyango &amp; Ondiek, 2023)","plainTextFormattedCitation":"(Onyango &amp; Ondiek, 2023)","previouslyFormattedCitation":"(Onyango &amp; Ondiek, 2023)"},"properties":{"noteIndex":0},"schema":"https://github.com/citation-style-language/schema/raw/master/csl-citation.json"}</w:instrText>
      </w:r>
      <w:r w:rsidRPr="00D81F5F">
        <w:rPr>
          <w:sz w:val="22"/>
        </w:rPr>
        <w:fldChar w:fldCharType="separate"/>
      </w:r>
      <w:r w:rsidR="000E796E" w:rsidRPr="000E796E">
        <w:rPr>
          <w:noProof/>
          <w:sz w:val="22"/>
        </w:rPr>
        <w:t>(Onyango &amp; Ondiek, 2023)</w:t>
      </w:r>
      <w:r w:rsidRPr="00D81F5F">
        <w:rPr>
          <w:sz w:val="22"/>
        </w:rPr>
        <w:fldChar w:fldCharType="end"/>
      </w:r>
      <w:r w:rsidR="000E796E">
        <w:rPr>
          <w:sz w:val="22"/>
        </w:rPr>
        <w:t>.</w:t>
      </w:r>
      <w:r w:rsidRPr="00D81F5F">
        <w:rPr>
          <w:sz w:val="22"/>
        </w:rPr>
        <w:t xml:space="preserve"> Meanwhile, some major cities in Indonesia have begun to implement smart city concepts that utilize IoT and data analytics to manage infrastructure in real-time, although implementation is still in its early stages</w:t>
      </w:r>
      <w:r w:rsidRPr="00D81F5F">
        <w:rPr>
          <w:sz w:val="22"/>
        </w:rPr>
        <w:fldChar w:fldCharType="begin" w:fldLock="1"/>
      </w:r>
      <w:r w:rsidR="000E796E">
        <w:rPr>
          <w:sz w:val="22"/>
        </w:rPr>
        <w:instrText>ADDIN CSL_CITATION {"citationItems":[{"id":"ITEM-1","itemData":{"DOI":"10.1080/12265934.2021.1997632","ISSN":"21616779","abstract":"The term ‘smart city’ has become synonymous with a technologically cultivated utopia, where urban problems can be solved computationally. This approach to urban development has been promoted as a method of enabling city administrations to become more proactive when dealing with issues including pollution, traffic flow and congestion, public safety, energy use, and urban planning. This trend towards using technology in urban management and planning has sparked research and development initiatives across the planet. In the UK, the #PlanTech trend is a governmental initiative that aims to improve engagement between various actors in the planning system, including local authorities and central government, with tech start-ups and digital entrepreneurs who can design solutions to the problems currently experienced by planners, developers, and citizens alike. Despite the significant opportunities that technologies offer city council planning departments in terms of productivity, existing governance models can be shown to represent a significant obstacle to implementation. This paper uses case study research conducted at two English city councils–Coventry and Leeds–to examine the implications of planning reforms and digital transformation of public services on urban planning governance. Utilizing the information gained from a combination of semi-structured interviews and stakeholder engagement exercises, it examines the growing emphasis on technology in planning practice within the public sector and discusses the potential implications that it may have for current governance arrangements. Finally, it suggests what a framework for future urban planning governance within an English political context, in the era of the smart city might require. The paper overall offers a critical view of how current urban planning practice and governance procedures are being quickly subsumed by digital technologies which offer novel and effective methods for professional planners yet are undermined, or are inhibited, by current governance arrangements.","author":[{"dropping-particle":"","family":"Devlin","given":"Ciaran","non-dropping-particle":"","parse-names":false,"suffix":""},{"dropping-particle":"","family":"Coaffee","given":"Jon","non-dropping-particle":"","parse-names":false,"suffix":""}],"container-title":"International Journal of Urban Sciences","id":"ITEM-1","issue":"S1","issued":{"date-parts":[["2023"]]},"language":"English","page":"149-163","publisher":"Routledge","publisher-place":"University of Warwick, Coventry, United Kingdom","title":"Planning and technological innovation: the governance challenges faced by English local authorities in adopting planning technologies","type":"article-journal","volume":"27"},"uris":["http://www.mendeley.com/documents/?uuid=b22d51d3-7335-43fb-a687-e470d02a86d5"]}],"mendeley":{"formattedCitation":"(Devlin &amp; Coaffee, 2023)","plainTextFormattedCitation":"(Devlin &amp; Coaffee, 2023)","previouslyFormattedCitation":"(Devlin &amp; Coaffee, 2023)"},"properties":{"noteIndex":0},"schema":"https://github.com/citation-style-language/schema/raw/master/csl-citation.json"}</w:instrText>
      </w:r>
      <w:r w:rsidRPr="00D81F5F">
        <w:rPr>
          <w:sz w:val="22"/>
        </w:rPr>
        <w:fldChar w:fldCharType="separate"/>
      </w:r>
      <w:r w:rsidR="000E796E" w:rsidRPr="000E796E">
        <w:rPr>
          <w:noProof/>
          <w:sz w:val="22"/>
        </w:rPr>
        <w:t>(Devlin &amp; Coaffee, 2023)</w:t>
      </w:r>
      <w:r w:rsidRPr="00D81F5F">
        <w:rPr>
          <w:sz w:val="22"/>
        </w:rPr>
        <w:fldChar w:fldCharType="end"/>
      </w:r>
      <w:r w:rsidR="000E796E">
        <w:rPr>
          <w:sz w:val="22"/>
        </w:rPr>
        <w:t>.</w:t>
      </w:r>
      <w:r w:rsidRPr="00D81F5F">
        <w:rPr>
          <w:sz w:val="22"/>
        </w:rPr>
        <w:t xml:space="preserve"> Digital collaboration between government departments has also begun to be adopted, enabling knowledge sharing through cloud-based platforms and virtual workspaces, which facilitates coordination between agencies</w:t>
      </w:r>
      <w:r w:rsidRPr="00D81F5F">
        <w:rPr>
          <w:sz w:val="22"/>
        </w:rPr>
        <w:fldChar w:fldCharType="begin" w:fldLock="1"/>
      </w:r>
      <w:r w:rsidR="000E796E">
        <w:rPr>
          <w:sz w:val="22"/>
        </w:rPr>
        <w:instrText>ADDIN CSL_CITATION {"citationItems":[{"id":"ITEM-1","itemData":{"DOI":"10.1093/isq/sqae090","ISSN":"14682478","abstract":"Among the defining features of the contemporary global economy are the digital disruption of economic sectors and the accompanying political and regulatory conflicts. Across the world, multinational technology firms have mobilized consumers as a key ally in these conflicts, a critical element of the platform power they wield. In this article, I examine how non-consumer identities can limit the exercise of platform power by such firms. By synthesizing the concept of platform power with research on political consumerism and national identity, I argue that activating national identity can generate opposition to policies favorable to multinational technology firms and, in turn, curtail their ability to appeal to public support. Empirically, this article uses an online, nationally representative survey fielded in Canada. I explore the determinants of support for global regulatory cooperation and the domestic policy status quo, as well as the causal effect of consumer and national identity framing using vignette experiments across three issue areas: banking, telecommunications, and taxation. The findings reveal that activating consumer identities consistently shifts support but the effect of national identity is more variable. This article thus contributes to scholarship on the digital economic transformation and the exercise of business power in the global economy.","author":[{"dropping-particle":"","family":"Girard","given":"Tyler","non-dropping-particle":"","parse-names":false,"suffix":""}],"container-title":"International Studies Quarterly","id":"ITEM-1","issue":"3","issued":{"date-parts":[["2024"]]},"language":"English","publisher":"Oxford University Press","publisher-place":"Purdue University, United States","title":"National Identity and the Limits of Platform Power in the Global Economy","type":"article-journal","volume":"68"},"uris":["http://www.mendeley.com/documents/?uuid=4e356fe7-7913-43fb-8566-b7c9bb3cd425"]}],"mendeley":{"formattedCitation":"(Girard, 2024)","plainTextFormattedCitation":"(Girard, 2024)","previouslyFormattedCitation":"(Girard, 2024)"},"properties":{"noteIndex":0},"schema":"https://github.com/citation-style-language/schema/raw/master/csl-citation.json"}</w:instrText>
      </w:r>
      <w:r w:rsidRPr="00D81F5F">
        <w:rPr>
          <w:sz w:val="22"/>
        </w:rPr>
        <w:fldChar w:fldCharType="separate"/>
      </w:r>
      <w:r w:rsidR="000E796E" w:rsidRPr="000E796E">
        <w:rPr>
          <w:noProof/>
          <w:sz w:val="22"/>
        </w:rPr>
        <w:t>(Girard, 2024)</w:t>
      </w:r>
      <w:r w:rsidRPr="00D81F5F">
        <w:rPr>
          <w:sz w:val="22"/>
        </w:rPr>
        <w:fldChar w:fldCharType="end"/>
      </w:r>
    </w:p>
    <w:p w14:paraId="75E94629" w14:textId="77777777" w:rsidR="008B2319" w:rsidRPr="00D81F5F" w:rsidRDefault="008B2319">
      <w:pPr>
        <w:spacing w:after="57" w:line="259" w:lineRule="auto"/>
        <w:ind w:left="283" w:firstLine="0"/>
        <w:jc w:val="left"/>
      </w:pPr>
    </w:p>
    <w:p w14:paraId="113598B8" w14:textId="71DFF59F" w:rsidR="008B2319" w:rsidRPr="00D81F5F" w:rsidRDefault="00000000">
      <w:pPr>
        <w:pStyle w:val="Heading1"/>
        <w:ind w:left="254" w:right="0" w:hanging="269"/>
        <w:rPr>
          <w:sz w:val="24"/>
          <w:szCs w:val="24"/>
        </w:rPr>
      </w:pPr>
      <w:r w:rsidRPr="00D81F5F">
        <w:rPr>
          <w:sz w:val="24"/>
          <w:szCs w:val="24"/>
        </w:rPr>
        <w:t xml:space="preserve">Results and Discussion </w:t>
      </w:r>
    </w:p>
    <w:p w14:paraId="55302315" w14:textId="3E466F3A" w:rsidR="00D81F5F" w:rsidRPr="00D81F5F" w:rsidRDefault="00D81F5F" w:rsidP="001813E2">
      <w:pPr>
        <w:spacing w:line="360" w:lineRule="auto"/>
        <w:ind w:left="284" w:firstLine="0"/>
        <w:rPr>
          <w:sz w:val="22"/>
        </w:rPr>
      </w:pPr>
      <w:r w:rsidRPr="00D81F5F">
        <w:rPr>
          <w:sz w:val="22"/>
        </w:rPr>
        <w:t>The uploaded documents inform several important aspects of digital transformation in the public sector. There are 460 relevant English-language journal documents, with 226 documents from social science fields that focus on the social aspects of digital transformation. 135 of these documents are open access, making them more widely accessible to support inclusive research</w:t>
      </w:r>
      <w:r w:rsidR="001644D9">
        <w:rPr>
          <w:sz w:val="22"/>
        </w:rPr>
        <w:fldChar w:fldCharType="begin" w:fldLock="1"/>
      </w:r>
      <w:r w:rsidR="000E796E">
        <w:rPr>
          <w:sz w:val="22"/>
        </w:rPr>
        <w:instrText>ADDIN CSL_CITATION {"citationItems":[{"id":"ITEM-1","itemData":{"DOI":"10.1016/j.ipm.2022.102980","ISSN":"03064573","abstract":"As a part of innovation in forecasting, scientific topic hotness prediction plays an essential role in dynamic scientific topic assessment and domain knowledge transformation modeling. To improve the topic hotness prediction performance, we propose an innovative model to estimate the co-evolution of scientific topic and bibliographic entities, which leverages a novel dynamic Bibliographic Knowledge Graph (BKG). Then, one can predict the topic hotness by using various kinds of topological entity information, i.e., TopicRank, PaperRank, AuthorRank, and VenueRank, along with pre-trained node embedding, i.e., node2vec embedding, and different pooling techniques. To validate the proposed method, we constructed a new BKG by using 4.5 million PubMed Central publications plus MeSH (Medical Subject Heading) thesaurus and witnessed the essential prediction improvement with extensive experiment outcomes over 10 years observations.","author":[{"dropping-particle":"","family":"Huo","given":"Chaoguang","non-dropping-particle":"","parse-names":false,"suffix":""},{"dropping-particle":"","family":"Ma","given":"Shutian","non-dropping-particle":"","parse-names":false,"suffix":""},{"dropping-particle":"","family":"Liu","given":"Xiaozhong","non-dropping-particle":"","parse-names":false,"suffix":""}],"container-title":"Information Processing and Management","id":"ITEM-1","issue":"4","issued":{"date-parts":[["2022"]]},"page":"102980","title":"Hotness prediction of scientific topics based on a bibliographic knowledge graph","type":"article-journal","volume":"59"},"uris":["http://www.mendeley.com/documents/?uuid=f4294700-2e4b-4872-a979-5c921a3b8338"]}],"mendeley":{"formattedCitation":"(Huo et al., 2022)","plainTextFormattedCitation":"(Huo et al., 2022)","previouslyFormattedCitation":"(Huo et al., 2022)"},"properties":{"noteIndex":0},"schema":"https://github.com/citation-style-language/schema/raw/master/csl-citation.json"}</w:instrText>
      </w:r>
      <w:r w:rsidR="001644D9">
        <w:rPr>
          <w:sz w:val="22"/>
        </w:rPr>
        <w:fldChar w:fldCharType="separate"/>
      </w:r>
      <w:r w:rsidR="000E796E" w:rsidRPr="000E796E">
        <w:rPr>
          <w:noProof/>
          <w:sz w:val="22"/>
        </w:rPr>
        <w:t>(Huo et al., 2022)</w:t>
      </w:r>
      <w:r w:rsidR="001644D9">
        <w:rPr>
          <w:sz w:val="22"/>
        </w:rPr>
        <w:fldChar w:fldCharType="end"/>
      </w:r>
    </w:p>
    <w:p w14:paraId="32BECCF3" w14:textId="5D9663C9" w:rsidR="00D81F5F" w:rsidRPr="00D81F5F" w:rsidRDefault="00D81F5F" w:rsidP="001813E2">
      <w:pPr>
        <w:spacing w:line="360" w:lineRule="auto"/>
        <w:ind w:left="284" w:firstLine="0"/>
        <w:rPr>
          <w:sz w:val="22"/>
        </w:rPr>
      </w:pPr>
      <w:r w:rsidRPr="00D81F5F">
        <w:rPr>
          <w:sz w:val="22"/>
        </w:rPr>
        <w:t>From the search results of the Scopus database, based on the year of publication, it shows a significant trend in the development of publications related to this topic</w:t>
      </w:r>
      <w:r w:rsidR="00FD6ED5">
        <w:rPr>
          <w:sz w:val="22"/>
        </w:rPr>
        <w:fldChar w:fldCharType="begin" w:fldLock="1"/>
      </w:r>
      <w:r w:rsidR="000E796E">
        <w:rPr>
          <w:sz w:val="22"/>
        </w:rPr>
        <w:instrText>ADDIN CSL_CITATION {"citationItems":[{"id":"ITEM-1","itemData":{"DOI":"10.1007/978-3-031-49212-9_6","ISBN":"9783031492112","ISSN":"18650937","abstract":"This study aims to investigate the dominant themes in publications related to smart cities governance and the integration of organizational strategies and human resources for sustainable urban development. The study employs bibliometric analysis using CiteSpace software to collect articles related to Smart Cities Governance and sustainable urban development from the Scopus database. The data collected is processed using CiteSpace software to generate visualizations and analyze research trends and topic development in the field of Smart Cities Governance. The results of the study identified 10 clusters, with the largest cluster being “underground space,” with 55 members and a silhouette value of 0.837 by LLR, smart cities by LSI, and knowledge management (3.09) by MI. The analysis showed that the use of underground space can be a solution to overcome the land constraints faced by large cities, as discussed in Goel, RK’s work, which is the most cited article in this cluster. The most cited nodes in this cluster are “smart city,” “sustainable development,” and “urban development,” indicating that sustainable Smart Cities development is a significant concern in research related to this cluster. The network analysis formed in the research clusters can provide useful information for experts and decision-makers in developing sustainable smart cities by considering the use of underground space as a solution to overcome land constraints. These findings are expected to guide experts and decision-makers in considering the use of underground space as one of the options in developing sustainable smart cities and overcoming the land constraints faced by large cities.","author":[{"dropping-particle":"","family":"Lawelai","given":"Herman","non-dropping-particle":"","parse-names":false,"suffix":""},{"dropping-particle":"","family":"Nurmandi","given":"Achmad","non-dropping-particle":"","parse-names":false,"suffix":""}],"container-title":"Communications in Computer and Information Science","editor":[{"dropping-particle":"","family":"Stephanidis","given":"Constantine","non-dropping-particle":"","parse-names":false,"suffix":""},{"dropping-particle":"","family":"Antona","given":"Margherita","non-dropping-particle":"","parse-names":false,"suffix":""},{"dropping-particle":"","family":"Ntoa","given":"Stavroula","non-dropping-particle":"","parse-names":false,"suffix":""},{"dropping-particle":"","family":"Salvendy","given":"Gavriel","non-dropping-particle":"","parse-names":false,"suffix":""}],"id":"ITEM-1","issued":{"date-parts":[["2024"]]},"page":"41-48","publisher":"Springer Nature Switzerland","publisher-place":"Cham","title":"Analyzing Smart Cities Governance Publications Using CiteSpace: Integration of Organizational Strategy and Human Resources for Sustainable Urban Development","type":"chapter","volume":"1957 CCIS"},"uris":["http://www.mendeley.com/documents/?uuid=4e086994-3486-4ef8-b58f-dc9500de24d5"]}],"mendeley":{"formattedCitation":"(Lawelai &amp; Nurmandi, 2024)","plainTextFormattedCitation":"(Lawelai &amp; Nurmandi, 2024)","previouslyFormattedCitation":"(Lawelai &amp; Nurmandi, 2024)"},"properties":{"noteIndex":0},"schema":"https://github.com/citation-style-language/schema/raw/master/csl-citation.json"}</w:instrText>
      </w:r>
      <w:r w:rsidR="00FD6ED5">
        <w:rPr>
          <w:sz w:val="22"/>
        </w:rPr>
        <w:fldChar w:fldCharType="separate"/>
      </w:r>
      <w:r w:rsidR="000E796E" w:rsidRPr="000E796E">
        <w:rPr>
          <w:noProof/>
          <w:sz w:val="22"/>
        </w:rPr>
        <w:t>(Lawelai &amp; Nurmandi, 2024)</w:t>
      </w:r>
      <w:r w:rsidR="00FD6ED5">
        <w:rPr>
          <w:sz w:val="22"/>
        </w:rPr>
        <w:fldChar w:fldCharType="end"/>
      </w:r>
      <w:r w:rsidR="000E796E">
        <w:rPr>
          <w:sz w:val="22"/>
        </w:rPr>
        <w:t>.</w:t>
      </w:r>
      <w:r w:rsidRPr="00D81F5F">
        <w:rPr>
          <w:sz w:val="22"/>
        </w:rPr>
        <w:t xml:space="preserve"> The line diagram sourced from Scopus shows an increasing trend in the number of documents related to digital transformation in the public sector from 2016 to 2023. In 2016 and 2017, there were only 2 documents published each year, reflecting the low interest in this topic. The number of documents increased slowly to 3 in 2018 and jumped to 10 documents in 2019 and 2020, indicating a growing interest in public sector digitization. In 2021, the number of publications rose significantly to 23 documents, followed by 28 documents in 2022. The peak came in 2023, with 54 documents published, reflecting a huge surge in interest in digital transformation, especially in the last three years. This increase reflects the growing importance of digitization in public services and the adoption of new technologies in the sector</w:t>
      </w:r>
      <w:r w:rsidR="00FD6ED5">
        <w:rPr>
          <w:sz w:val="22"/>
        </w:rPr>
        <w:fldChar w:fldCharType="begin" w:fldLock="1"/>
      </w:r>
      <w:r w:rsidR="000E796E">
        <w:rPr>
          <w:sz w:val="22"/>
        </w:rPr>
        <w:instrText>ADDIN CSL_CITATION {"citationItems":[{"id":"ITEM-1","itemData":{"DOI":"10.1051/e3sconf/202344007003","ISSN":"2267-1242","abstract":"Rapid technological advances have led to the emergence of smart cities, where digital systems and technologies are integrated to improve urban life. The research aims to provide a comprehensive understanding of digital governance in smart cities by conducting in-depth studies using VOSviewer and CiteSpace. The study used a meta-analysis approach to analyze various literature from the Scopus database related to digital governance in smart cities. VOSviewer is used for visualizing and mapping keyword coexistence, while CiteSpace is used to identify influential authors, seminal works, and emerging trends in the field of research. The findings reveal key themes and concepts surrounding digital governance, including policy frameworks, citizen participation, data privacy, and cybersecurity. In addition, the analysis highlights the nature of the development of digital governance in smart cities, with a shift towards a more inclusive and participatory approach. It identifies significant research gaps and opportunities for future studies, such as integrating artificial intelligence, blockchain, and Internet of Things (IoT) technologies into the digital governance framework. The research contributes to existing knowledge by providing a comprehensive overview of digital governance in smart cities, identifying key research areas, and suggesting potential paths for further exploration.","author":[{"dropping-particle":"","family":"Lawelai","given":"Herman","non-dropping-particle":"","parse-names":false,"suffix":""}],"container-title":"E3S Web of Conferences","editor":[{"dropping-particle":"","family":"Mutiarin","given":"D.","non-dropping-particle":"","parse-names":false,"suffix":""},{"dropping-particle":"","family":"Alam","given":"M.","non-dropping-particle":"","parse-names":false,"suffix":""},{"dropping-particle":"","family":"Cahill","given":"D.","non-dropping-particle":"","parse-names":false,"suffix":""},{"dropping-particle":"","family":"Sharifuddin","given":"J.","non-dropping-particle":"","parse-names":false,"suffix":""},{"dropping-particle":"","family":"Senge","given":"M.","non-dropping-particle":"","parse-names":false,"suffix":""},{"dropping-particle":"","family":"Robani","given":"A.","non-dropping-particle":"","parse-names":false,"suffix":""},{"dropping-particle":"","family":"Saiyut","given":"P.","non-dropping-particle":"","parse-names":false,"suffix":""},{"dropping-particle":"","family":"Nurmandi","given":"A.","non-dropping-particle":"","parse-names":false,"suffix":""}],"id":"ITEM-1","issued":{"date-parts":[["2023","11","1"]]},"page":"07003","title":"Understanding Digital Governance in Smart Cities: In-Depth Study Utilizing VOSviewer and CiteSpace","type":"article-journal","volume":"440"},"uris":["http://www.mendeley.com/documents/?uuid=f314637b-548a-4263-ac87-d819a19ad898"]}],"mendeley":{"formattedCitation":"(Lawelai, 2023)","plainTextFormattedCitation":"(Lawelai, 2023)","previouslyFormattedCitation":"(Lawelai, 2023)"},"properties":{"noteIndex":0},"schema":"https://github.com/citation-style-language/schema/raw/master/csl-citation.json"}</w:instrText>
      </w:r>
      <w:r w:rsidR="00FD6ED5">
        <w:rPr>
          <w:sz w:val="22"/>
        </w:rPr>
        <w:fldChar w:fldCharType="separate"/>
      </w:r>
      <w:r w:rsidR="000E796E" w:rsidRPr="000E796E">
        <w:rPr>
          <w:noProof/>
          <w:sz w:val="22"/>
        </w:rPr>
        <w:t>(Lawelai, 2023)</w:t>
      </w:r>
      <w:r w:rsidR="00FD6ED5">
        <w:rPr>
          <w:sz w:val="22"/>
        </w:rPr>
        <w:fldChar w:fldCharType="end"/>
      </w:r>
      <w:r w:rsidR="000E796E">
        <w:rPr>
          <w:sz w:val="22"/>
        </w:rPr>
        <w:t>.</w:t>
      </w:r>
    </w:p>
    <w:p w14:paraId="24166102" w14:textId="099443CD" w:rsidR="00D81F5F" w:rsidRPr="00D81F5F" w:rsidRDefault="00D81F5F" w:rsidP="00D81F5F">
      <w:pPr>
        <w:spacing w:line="360" w:lineRule="auto"/>
        <w:jc w:val="center"/>
        <w:rPr>
          <w:sz w:val="22"/>
        </w:rPr>
      </w:pPr>
      <w:r w:rsidRPr="00D81F5F">
        <w:rPr>
          <w:noProof/>
          <w:sz w:val="24"/>
          <w:szCs w:val="24"/>
        </w:rPr>
        <w:drawing>
          <wp:inline distT="0" distB="0" distL="0" distR="0" wp14:anchorId="17F9BA2F" wp14:editId="425333C8">
            <wp:extent cx="3983355" cy="2209046"/>
            <wp:effectExtent l="0" t="0" r="17145" b="1270"/>
            <wp:docPr id="1714360613" name="Chart 1">
              <a:extLst xmlns:a="http://schemas.openxmlformats.org/drawingml/2006/main">
                <a:ext uri="{FF2B5EF4-FFF2-40B4-BE49-F238E27FC236}">
                  <a16:creationId xmlns:a16="http://schemas.microsoft.com/office/drawing/2014/main" id="{3ED9A2FE-4CD7-9600-C2A9-A84D034487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91C8D43" w14:textId="77777777" w:rsidR="00D81F5F" w:rsidRPr="00D81F5F" w:rsidRDefault="00D81F5F" w:rsidP="00D81F5F">
      <w:pPr>
        <w:spacing w:line="360" w:lineRule="auto"/>
        <w:jc w:val="center"/>
        <w:rPr>
          <w:szCs w:val="20"/>
        </w:rPr>
      </w:pPr>
      <w:r w:rsidRPr="00D81F5F">
        <w:rPr>
          <w:szCs w:val="20"/>
        </w:rPr>
        <w:t xml:space="preserve">Documents by Year (2016-2023) </w:t>
      </w:r>
    </w:p>
    <w:p w14:paraId="57644963" w14:textId="77777777" w:rsidR="00D81F5F" w:rsidRPr="00D81F5F" w:rsidRDefault="00D81F5F" w:rsidP="0063212F">
      <w:pPr>
        <w:spacing w:line="360" w:lineRule="auto"/>
        <w:ind w:left="284"/>
        <w:rPr>
          <w:sz w:val="22"/>
        </w:rPr>
      </w:pPr>
      <w:r w:rsidRPr="00D81F5F">
        <w:rPr>
          <w:sz w:val="22"/>
        </w:rPr>
        <w:t xml:space="preserve">Over the past decade, research on digital transformation in the public sector has grown rapidly, conducted by researchers from various countries with varying levels of quality. This has led them to publish their findings in leading Scopus-indexed journals. </w:t>
      </w:r>
    </w:p>
    <w:p w14:paraId="3D603328" w14:textId="77777777" w:rsidR="00D81F5F" w:rsidRPr="00D81F5F" w:rsidRDefault="00D81F5F" w:rsidP="00D81F5F">
      <w:pPr>
        <w:spacing w:after="0" w:line="360" w:lineRule="auto"/>
        <w:jc w:val="center"/>
        <w:rPr>
          <w:sz w:val="24"/>
          <w:szCs w:val="24"/>
        </w:rPr>
      </w:pPr>
      <w:r w:rsidRPr="00D81F5F">
        <w:rPr>
          <w:noProof/>
        </w:rPr>
        <w:drawing>
          <wp:inline distT="0" distB="0" distL="0" distR="0" wp14:anchorId="7AD27D82" wp14:editId="1AB7BD33">
            <wp:extent cx="3413157" cy="1955549"/>
            <wp:effectExtent l="0" t="0" r="15875" b="6985"/>
            <wp:docPr id="1097758518" name="Chart 1">
              <a:extLst xmlns:a="http://schemas.openxmlformats.org/drawingml/2006/main">
                <a:ext uri="{FF2B5EF4-FFF2-40B4-BE49-F238E27FC236}">
                  <a16:creationId xmlns:a16="http://schemas.microsoft.com/office/drawing/2014/main" id="{432B9256-5F39-6691-6BFD-83B50C68F1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E97575B" w14:textId="77777777" w:rsidR="00D81F5F" w:rsidRPr="00D81F5F" w:rsidRDefault="00D81F5F" w:rsidP="00D81F5F">
      <w:pPr>
        <w:spacing w:after="0" w:line="360" w:lineRule="auto"/>
        <w:jc w:val="center"/>
        <w:rPr>
          <w:sz w:val="24"/>
          <w:szCs w:val="24"/>
        </w:rPr>
      </w:pPr>
      <w:r w:rsidRPr="00D81F5F">
        <w:rPr>
          <w:szCs w:val="20"/>
        </w:rPr>
        <w:t>Figure 2. Documents by Country</w:t>
      </w:r>
    </w:p>
    <w:p w14:paraId="7EFEFF05" w14:textId="77777777" w:rsidR="00D81F5F" w:rsidRPr="00D81F5F" w:rsidRDefault="00D81F5F" w:rsidP="0063212F">
      <w:pPr>
        <w:spacing w:line="360" w:lineRule="auto"/>
        <w:ind w:left="284"/>
        <w:rPr>
          <w:sz w:val="22"/>
        </w:rPr>
      </w:pPr>
      <w:r w:rsidRPr="00D81F5F">
        <w:rPr>
          <w:sz w:val="22"/>
        </w:rPr>
        <w:t>The bar chart above shows the number of publications related to digital transformation in the public sector sourced from Scopus, by country. Italy has the highest number of publications with 10 documents, followed by Brazil with 8 documents. Some other countries such as Portugal, Russia, Finland and the United States have 7 documents each. Countries such as Germany and the Netherlands have 6 documents, while Croatia and Belgium have 5 documents each. This diagram illustrates the geographical distribution of research on this topic, with Italy being the largest contributor.</w:t>
      </w:r>
    </w:p>
    <w:p w14:paraId="178A4F2A" w14:textId="77777777" w:rsidR="00D81F5F" w:rsidRPr="00D81F5F" w:rsidRDefault="00D81F5F" w:rsidP="00D81F5F">
      <w:pPr>
        <w:spacing w:after="0" w:line="360" w:lineRule="auto"/>
        <w:jc w:val="center"/>
        <w:rPr>
          <w:sz w:val="24"/>
          <w:szCs w:val="24"/>
        </w:rPr>
      </w:pPr>
      <w:r w:rsidRPr="00D81F5F">
        <w:rPr>
          <w:noProof/>
        </w:rPr>
        <w:drawing>
          <wp:inline distT="0" distB="0" distL="0" distR="0" wp14:anchorId="614BBB2F" wp14:editId="1EDF6C53">
            <wp:extent cx="3716448" cy="2234835"/>
            <wp:effectExtent l="0" t="0" r="17780" b="13335"/>
            <wp:docPr id="1156555337" name="Chart 1">
              <a:extLst xmlns:a="http://schemas.openxmlformats.org/drawingml/2006/main">
                <a:ext uri="{FF2B5EF4-FFF2-40B4-BE49-F238E27FC236}">
                  <a16:creationId xmlns:a16="http://schemas.microsoft.com/office/drawing/2014/main" id="{5BA1B762-DF96-FC09-5371-84A3EEF939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00BCAE9" w14:textId="77777777" w:rsidR="00D81F5F" w:rsidRPr="00D81F5F" w:rsidRDefault="00D81F5F" w:rsidP="00D81F5F">
      <w:pPr>
        <w:spacing w:line="360" w:lineRule="auto"/>
        <w:jc w:val="center"/>
        <w:rPr>
          <w:sz w:val="24"/>
          <w:szCs w:val="24"/>
        </w:rPr>
      </w:pPr>
      <w:r w:rsidRPr="00D81F5F">
        <w:rPr>
          <w:szCs w:val="20"/>
        </w:rPr>
        <w:t>Figure 3. Documents by scientific field</w:t>
      </w:r>
    </w:p>
    <w:p w14:paraId="4F741F84" w14:textId="3C4D8D8E" w:rsidR="00D81F5F" w:rsidRPr="00D81F5F" w:rsidRDefault="00D81F5F" w:rsidP="0063212F">
      <w:pPr>
        <w:spacing w:line="360" w:lineRule="auto"/>
        <w:ind w:left="284"/>
        <w:rPr>
          <w:sz w:val="22"/>
        </w:rPr>
      </w:pPr>
      <w:r w:rsidRPr="00D81F5F">
        <w:rPr>
          <w:sz w:val="22"/>
        </w:rPr>
        <w:t xml:space="preserve">The diagram above illustrates the distribution of the number of publications from various scientific journals listed on Scopus related to the field of digital transformation in the public sector. The journal "Government Information Quarterly" emerges as the most dominant source with 8 publications, making it a major contribution to the literature on this topic. "Digital Government Research and Practice" follows with 4 publications. Other journals such as "Ejournal Of </w:t>
      </w:r>
      <w:proofErr w:type="spellStart"/>
      <w:r w:rsidRPr="00D81F5F">
        <w:rPr>
          <w:sz w:val="22"/>
        </w:rPr>
        <w:t>Edemocracy</w:t>
      </w:r>
      <w:proofErr w:type="spellEnd"/>
      <w:r w:rsidRPr="00D81F5F">
        <w:rPr>
          <w:sz w:val="22"/>
        </w:rPr>
        <w:t xml:space="preserve"> And Open Government", "International Journal Of Information Management", "Public Policy And Administration", and "Transforming Government People Process And Policy" contributed 3 publications each</w:t>
      </w:r>
      <w:r w:rsidR="00FD6ED5">
        <w:rPr>
          <w:sz w:val="22"/>
        </w:rPr>
        <w:fldChar w:fldCharType="begin" w:fldLock="1"/>
      </w:r>
      <w:r w:rsidR="000E796E">
        <w:rPr>
          <w:sz w:val="22"/>
        </w:rPr>
        <w:instrText>ADDIN CSL_CITATION {"citationItems":[{"id":"ITEM-1","itemData":{"DOI":"10.1016/j.clsr.2019.03.008","ISSN":"02673649","abstract":"Application Programming Interfaces (APIs) have been identified by the European Commission as a key enabler of interoperability among private and public undertakings. Further, a systematic adoption of open and standardized APIs by firms and developers appears crucial to unlock competition and ultimately promote the flourishing of Artificial Intelligence (AI) and Internet of Things (IoT) innovation. Analysing the main European regulatory initiatives which have so far surfaced in the realm of data governance (right to personal data portability, free flow of non-personal data, access to customer account data rule, re-use of government data), it seems that the EU legislator is not tackling the matter consistently. Indeed, on one side, all these initiatives share a strong reliance on APIs as a key facilitator to ensure a sound and effective data sharing ecosystem. However, on the other side, all these attempts are inherently different in terms of rationale, scope and implementation. The article stresses that data sharing via APIs requires a complex implementation process and sound standardization initiatives are essential for its success. Moreover, data pooling agreements need to be targeted in advance by competition law so to incentivize their adoption and leverage their pro-competitive potential. As for pricing and compensation issues, we point out that placing excessive reliance on fair, reasonable and non-discriminatory (FRAND) terms might be counterproductive.","author":[{"dropping-particle":"","family":"Borgogno","given":"Oscar","non-dropping-particle":"","parse-names":false,"suffix":""},{"dropping-particle":"","family":"Colangelo","given":"Giuseppe","non-dropping-particle":"","parse-names":false,"suffix":""}],"container-title":"Computer Law and Security Review","id":"ITEM-1","issue":"5","issued":{"date-parts":[["2019"]]},"page":"105314","title":"Data sharing and interoperability: Fostering innovation and competition through APIs","type":"article-journal","volume":"35"},"uris":["http://www.mendeley.com/documents/?uuid=3b931ad2-8898-4c0b-865e-b759f565cc5e"]}],"mendeley":{"formattedCitation":"(Borgogno &amp; Colangelo, 2019)","plainTextFormattedCitation":"(Borgogno &amp; Colangelo, 2019)","previouslyFormattedCitation":"(Borgogno &amp; Colangelo, 2019)"},"properties":{"noteIndex":0},"schema":"https://github.com/citation-style-language/schema/raw/master/csl-citation.json"}</w:instrText>
      </w:r>
      <w:r w:rsidR="00FD6ED5">
        <w:rPr>
          <w:sz w:val="22"/>
        </w:rPr>
        <w:fldChar w:fldCharType="separate"/>
      </w:r>
      <w:r w:rsidR="000E796E" w:rsidRPr="000E796E">
        <w:rPr>
          <w:noProof/>
          <w:sz w:val="22"/>
        </w:rPr>
        <w:t>(Borgogno &amp; Colangelo, 2019)</w:t>
      </w:r>
      <w:r w:rsidR="00FD6ED5">
        <w:rPr>
          <w:sz w:val="22"/>
        </w:rPr>
        <w:fldChar w:fldCharType="end"/>
      </w:r>
      <w:r w:rsidR="000E796E">
        <w:rPr>
          <w:sz w:val="22"/>
        </w:rPr>
        <w:t>.</w:t>
      </w:r>
      <w:r w:rsidRPr="00D81F5F">
        <w:rPr>
          <w:sz w:val="22"/>
        </w:rPr>
        <w:t xml:space="preserve"> Meanwhile, "</w:t>
      </w:r>
      <w:proofErr w:type="spellStart"/>
      <w:r w:rsidRPr="00D81F5F">
        <w:rPr>
          <w:sz w:val="22"/>
        </w:rPr>
        <w:t>Administratie</w:t>
      </w:r>
      <w:proofErr w:type="spellEnd"/>
      <w:r w:rsidRPr="00D81F5F">
        <w:rPr>
          <w:sz w:val="22"/>
        </w:rPr>
        <w:t xml:space="preserve"> Si Management Public", "Big Data </w:t>
      </w:r>
      <w:proofErr w:type="gramStart"/>
      <w:r w:rsidRPr="00D81F5F">
        <w:rPr>
          <w:sz w:val="22"/>
        </w:rPr>
        <w:t>And</w:t>
      </w:r>
      <w:proofErr w:type="gramEnd"/>
      <w:r w:rsidRPr="00D81F5F">
        <w:rPr>
          <w:sz w:val="22"/>
        </w:rPr>
        <w:t xml:space="preserve"> Society", and "Central European Public Administration Review" each recorded 2 publications. Overall, this diagram shows that "Government Information Quarterly" is the most significant source for studies related to digital transformation in the public sector.</w:t>
      </w:r>
    </w:p>
    <w:p w14:paraId="34E9E0BF" w14:textId="77777777" w:rsidR="00D81F5F" w:rsidRPr="00D81F5F" w:rsidRDefault="00D81F5F" w:rsidP="00D81F5F">
      <w:pPr>
        <w:spacing w:after="0" w:line="360" w:lineRule="auto"/>
        <w:jc w:val="center"/>
        <w:rPr>
          <w:sz w:val="24"/>
          <w:szCs w:val="24"/>
        </w:rPr>
      </w:pPr>
      <w:r w:rsidRPr="00D81F5F">
        <w:rPr>
          <w:noProof/>
          <w:sz w:val="24"/>
          <w:szCs w:val="24"/>
        </w:rPr>
        <w:drawing>
          <wp:inline distT="0" distB="0" distL="0" distR="0" wp14:anchorId="3CCE4FBE" wp14:editId="0585ADA5">
            <wp:extent cx="4748543" cy="2109458"/>
            <wp:effectExtent l="0" t="0" r="13970" b="5715"/>
            <wp:docPr id="51003049" name="Chart 1">
              <a:extLst xmlns:a="http://schemas.openxmlformats.org/drawingml/2006/main">
                <a:ext uri="{FF2B5EF4-FFF2-40B4-BE49-F238E27FC236}">
                  <a16:creationId xmlns:a16="http://schemas.microsoft.com/office/drawing/2014/main" id="{C4269939-1E7F-FE47-5F51-D227E85407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B5FD868" w14:textId="77777777" w:rsidR="00D81F5F" w:rsidRPr="00D81F5F" w:rsidRDefault="00D81F5F" w:rsidP="00D81F5F">
      <w:pPr>
        <w:spacing w:after="0" w:line="360" w:lineRule="auto"/>
        <w:jc w:val="center"/>
        <w:rPr>
          <w:sz w:val="24"/>
          <w:szCs w:val="24"/>
        </w:rPr>
      </w:pPr>
      <w:r w:rsidRPr="00D81F5F">
        <w:rPr>
          <w:szCs w:val="20"/>
        </w:rPr>
        <w:t>Figure 4. Documents by Author</w:t>
      </w:r>
    </w:p>
    <w:p w14:paraId="76FDB929" w14:textId="77777777" w:rsidR="00D81F5F" w:rsidRPr="00D81F5F" w:rsidRDefault="00D81F5F" w:rsidP="0063212F">
      <w:pPr>
        <w:spacing w:line="360" w:lineRule="auto"/>
        <w:ind w:left="284"/>
        <w:rPr>
          <w:sz w:val="22"/>
        </w:rPr>
      </w:pPr>
      <w:r w:rsidRPr="00D81F5F">
        <w:rPr>
          <w:sz w:val="22"/>
        </w:rPr>
        <w:t xml:space="preserve">The diagram displays the number of publications from various authors whose data is sourced from Scopus, related to a specific topic. Dečman, M., Mergel, I., and Tangi, L. are the main contributors, each with 3 publications, while other authors such as </w:t>
      </w:r>
      <w:proofErr w:type="spellStart"/>
      <w:r w:rsidRPr="00D81F5F">
        <w:rPr>
          <w:sz w:val="22"/>
        </w:rPr>
        <w:t>Peruccchi</w:t>
      </w:r>
      <w:proofErr w:type="spellEnd"/>
      <w:r w:rsidRPr="00D81F5F">
        <w:rPr>
          <w:sz w:val="22"/>
        </w:rPr>
        <w:t xml:space="preserve">, V., Omar, A., Myeong, S., </w:t>
      </w:r>
      <w:proofErr w:type="spellStart"/>
      <w:r w:rsidRPr="00D81F5F">
        <w:rPr>
          <w:sz w:val="22"/>
        </w:rPr>
        <w:t>Jambari</w:t>
      </w:r>
      <w:proofErr w:type="spellEnd"/>
      <w:r w:rsidRPr="00D81F5F">
        <w:rPr>
          <w:sz w:val="22"/>
        </w:rPr>
        <w:t xml:space="preserve">, D.I., Dominic, P.D.D., Brandão, J.L.A., and </w:t>
      </w:r>
      <w:proofErr w:type="spellStart"/>
      <w:r w:rsidRPr="00D81F5F">
        <w:rPr>
          <w:sz w:val="22"/>
        </w:rPr>
        <w:t>Androniceanu</w:t>
      </w:r>
      <w:proofErr w:type="spellEnd"/>
      <w:r w:rsidRPr="00D81F5F">
        <w:rPr>
          <w:sz w:val="22"/>
        </w:rPr>
        <w:t xml:space="preserve">, A. have 2 publications each. Overall, this diagram shows that the contributions to the literature in Scopus on the topics covered are </w:t>
      </w:r>
      <w:proofErr w:type="gramStart"/>
      <w:r w:rsidRPr="00D81F5F">
        <w:rPr>
          <w:sz w:val="22"/>
        </w:rPr>
        <w:t>fairly evenly</w:t>
      </w:r>
      <w:proofErr w:type="gramEnd"/>
      <w:r w:rsidRPr="00D81F5F">
        <w:rPr>
          <w:sz w:val="22"/>
        </w:rPr>
        <w:t xml:space="preserve"> distributed, with Dečman, M., Mergel, I., and Tangi, L. being the most prolific authors.</w:t>
      </w:r>
    </w:p>
    <w:p w14:paraId="7EB5609D" w14:textId="77777777" w:rsidR="00D81F5F" w:rsidRPr="00D81F5F" w:rsidRDefault="00D81F5F" w:rsidP="00D81F5F">
      <w:pPr>
        <w:spacing w:line="360" w:lineRule="auto"/>
        <w:jc w:val="center"/>
        <w:rPr>
          <w:sz w:val="24"/>
          <w:szCs w:val="24"/>
        </w:rPr>
      </w:pPr>
      <w:r w:rsidRPr="00D81F5F">
        <w:rPr>
          <w:noProof/>
          <w:sz w:val="24"/>
          <w:szCs w:val="24"/>
        </w:rPr>
        <w:drawing>
          <wp:inline distT="0" distB="0" distL="0" distR="0" wp14:anchorId="19E28A03" wp14:editId="62E65F10">
            <wp:extent cx="3259248" cy="1962193"/>
            <wp:effectExtent l="0" t="0" r="0" b="0"/>
            <wp:docPr id="1819791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791219" name="Picture 181979121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71328" cy="1969465"/>
                    </a:xfrm>
                    <a:prstGeom prst="rect">
                      <a:avLst/>
                    </a:prstGeom>
                  </pic:spPr>
                </pic:pic>
              </a:graphicData>
            </a:graphic>
          </wp:inline>
        </w:drawing>
      </w:r>
    </w:p>
    <w:p w14:paraId="0F4857A8" w14:textId="77777777" w:rsidR="00D81F5F" w:rsidRPr="00D81F5F" w:rsidRDefault="00D81F5F" w:rsidP="00D81F5F">
      <w:pPr>
        <w:spacing w:line="360" w:lineRule="auto"/>
        <w:jc w:val="center"/>
        <w:rPr>
          <w:sz w:val="24"/>
          <w:szCs w:val="24"/>
        </w:rPr>
      </w:pPr>
      <w:r w:rsidRPr="00D81F5F">
        <w:rPr>
          <w:szCs w:val="20"/>
        </w:rPr>
        <w:t>Article Network Map Based on Linkage and Frequency of Occurrence</w:t>
      </w:r>
    </w:p>
    <w:p w14:paraId="68357B61" w14:textId="0D5F316A" w:rsidR="00D81F5F" w:rsidRPr="00D81F5F" w:rsidRDefault="00D81F5F" w:rsidP="0063212F">
      <w:pPr>
        <w:spacing w:line="360" w:lineRule="auto"/>
        <w:ind w:left="284"/>
        <w:rPr>
          <w:sz w:val="22"/>
        </w:rPr>
      </w:pPr>
      <w:r w:rsidRPr="00D81F5F">
        <w:rPr>
          <w:sz w:val="22"/>
        </w:rPr>
        <w:t xml:space="preserve">The illustration shows a network map showing the interconnections between scientific articles based on the frequency of co-occurrence or author collaboration, with data sourced from Scopus. The largest node, "Mergel (2019a)", is the </w:t>
      </w:r>
      <w:proofErr w:type="spellStart"/>
      <w:r w:rsidRPr="00D81F5F">
        <w:rPr>
          <w:sz w:val="22"/>
        </w:rPr>
        <w:t>center</w:t>
      </w:r>
      <w:proofErr w:type="spellEnd"/>
      <w:r w:rsidRPr="00D81F5F">
        <w:rPr>
          <w:sz w:val="22"/>
        </w:rPr>
        <w:t xml:space="preserve"> of the network, indicating that the article is frequently cited or referenced in many related studies. The </w:t>
      </w:r>
      <w:proofErr w:type="spellStart"/>
      <w:r w:rsidRPr="00D81F5F">
        <w:rPr>
          <w:sz w:val="22"/>
        </w:rPr>
        <w:t>color</w:t>
      </w:r>
      <w:proofErr w:type="spellEnd"/>
      <w:r w:rsidRPr="00D81F5F">
        <w:rPr>
          <w:sz w:val="22"/>
        </w:rPr>
        <w:t xml:space="preserve"> and size of the nodes and their connecting lines reflect the temporal distribution of publications from 2019 to 2022, showing the influence and temporal relationship between articles. Other articles such as "Agostino (2020)", "Tangi (2021)", and "de Bem Machado (2022)" also contribute to this network, but with less frequency and influence. Overall, this map illustrates the interactions and knowledge networks formed between the articles in the topic.</w:t>
      </w:r>
    </w:p>
    <w:p w14:paraId="66CB2781" w14:textId="77777777" w:rsidR="00D81F5F" w:rsidRPr="00D81F5F" w:rsidRDefault="00D81F5F" w:rsidP="00D81F5F">
      <w:pPr>
        <w:spacing w:line="360" w:lineRule="auto"/>
        <w:jc w:val="center"/>
        <w:rPr>
          <w:sz w:val="24"/>
          <w:szCs w:val="24"/>
        </w:rPr>
      </w:pPr>
      <w:r w:rsidRPr="00D81F5F">
        <w:rPr>
          <w:noProof/>
          <w:sz w:val="24"/>
          <w:szCs w:val="24"/>
        </w:rPr>
        <w:drawing>
          <wp:inline distT="0" distB="0" distL="0" distR="0" wp14:anchorId="6E3912B8" wp14:editId="4F5AA12F">
            <wp:extent cx="3902044" cy="2335779"/>
            <wp:effectExtent l="0" t="0" r="3810" b="7620"/>
            <wp:docPr id="377665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65738" name="Picture 37766573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26144" cy="2350205"/>
                    </a:xfrm>
                    <a:prstGeom prst="rect">
                      <a:avLst/>
                    </a:prstGeom>
                  </pic:spPr>
                </pic:pic>
              </a:graphicData>
            </a:graphic>
          </wp:inline>
        </w:drawing>
      </w:r>
    </w:p>
    <w:p w14:paraId="1AB775F4" w14:textId="77777777" w:rsidR="00D81F5F" w:rsidRPr="00D81F5F" w:rsidRDefault="00D81F5F" w:rsidP="00D81F5F">
      <w:pPr>
        <w:spacing w:line="360" w:lineRule="auto"/>
        <w:jc w:val="center"/>
        <w:rPr>
          <w:sz w:val="24"/>
          <w:szCs w:val="24"/>
        </w:rPr>
      </w:pPr>
      <w:r w:rsidRPr="00D81F5F">
        <w:rPr>
          <w:szCs w:val="20"/>
        </w:rPr>
        <w:t>Figure 5. Authors Keyword Co-Accuration Network Map</w:t>
      </w:r>
    </w:p>
    <w:p w14:paraId="0B34CF4F" w14:textId="051AD821" w:rsidR="00D81F5F" w:rsidRPr="00D81F5F" w:rsidRDefault="00D81F5F" w:rsidP="0063212F">
      <w:pPr>
        <w:spacing w:line="360" w:lineRule="auto"/>
        <w:ind w:left="284"/>
        <w:rPr>
          <w:sz w:val="22"/>
        </w:rPr>
      </w:pPr>
      <w:r w:rsidRPr="00D81F5F">
        <w:rPr>
          <w:sz w:val="22"/>
        </w:rPr>
        <w:t xml:space="preserve">The figure displays a network map visualization created using </w:t>
      </w:r>
      <w:proofErr w:type="spellStart"/>
      <w:r w:rsidRPr="00D81F5F">
        <w:rPr>
          <w:sz w:val="22"/>
        </w:rPr>
        <w:t>VOSviewer</w:t>
      </w:r>
      <w:proofErr w:type="spellEnd"/>
      <w:r w:rsidRPr="00D81F5F">
        <w:rPr>
          <w:sz w:val="22"/>
        </w:rPr>
        <w:t>, showing the interrelationships between keywords frequently used in publications related to "digital transformation" and other topics such as "e-government," "public sector," "innovation," and "covid-19"</w:t>
      </w:r>
      <w:r w:rsidR="000E796E">
        <w:rPr>
          <w:sz w:val="22"/>
        </w:rPr>
        <w:t xml:space="preserve"> </w:t>
      </w:r>
      <w:r w:rsidR="00FD6ED5">
        <w:rPr>
          <w:sz w:val="22"/>
        </w:rPr>
        <w:fldChar w:fldCharType="begin" w:fldLock="1"/>
      </w:r>
      <w:r w:rsidR="000E796E">
        <w:rPr>
          <w:sz w:val="22"/>
        </w:rPr>
        <w:instrText>ADDIN CSL_CITATION {"citationItems":[{"id":"ITEM-1","itemData":{"ISBN":"978-3-031-19682-9","abstract":"The study aims to analyze the mechanism of “government data processing in supporting smart cities.” The processing of government data collects raw data and translates it into information to create transparent, accountable, and participatory public service delivery strategies. This research was conducted in the United States, Spain, Indonesia, and Brazil. The research approach uses qualitative methods from previous review studies. The data sources in this study were taken from the Scopus database from 2012 to 2022. There are 73 articles, with the top four countries having the highest number of pieces, namely the United States, which has 11 papers, Spain has 10 articles, Indonesia has 6 articles, and Brazil has 6 articles, with the keywords “E-Government and Smart City.” Then the author compares the implementation of government data processing mechanisms in the United States, Spain, Indonesia, and Brazil. The research data analysis uses VOSviewer Software as an analytical tool to correlate data processing in government themes of information production in innovative city analysis. The results show that the development of the research “Government Data Processing in Supporting Smart City” from 2012 to 2022 has a fluctuating trend. Furthermore, this research answers that government data is divided into three dominating government process data: information management, big data, information, and communication. Government Data Processing Research in Supporting Smart City information management is seen from technology change, electronic commerce, innovation, and e-government. In contrast, big data is seen from data mining, platforms, and open data. In information and communication, it is seen in privacy, public administration, and e-participation.","author":[{"dropping-particle":"","family":"Farhan HR","given":"Muhammad","non-dropping-particle":"","parse-names":false,"suffix":""},{"dropping-particle":"","family":"Nurmandi","given":"Achmad","non-dropping-particle":"","parse-names":false,"suffix":""}],"editor":[{"dropping-particle":"","family":"Stephanidis","given":"Constantine","non-dropping-particle":"","parse-names":false,"suffix":""},{"dropping-particle":"","family":"Antona","given":"Margherita","non-dropping-particle":"","parse-names":false,"suffix":""},{"dropping-particle":"","family":"Ntoa","given":"Stavroula","non-dropping-particle":"","parse-names":false,"suffix":""},{"dropping-particle":"","family":"Salvendy","given":"Gavriel","non-dropping-particle":"","parse-names":false,"suffix":""}],"id":"ITEM-1","issued":{"date-parts":[["2022"]]},"page":"498-506","publisher":"Springer Nature Switzerland","publisher-place":"Cham","title":"Government Data Processing Mechanism to Support Smart City: A Bibliometric Review BT  - HCI International 2022 – Late Breaking Posters","type":"paper-conference"},"uris":["http://www.mendeley.com/documents/?uuid=96ea6081-5c89-46e1-ba73-3c248c9114c6"]}],"mendeley":{"formattedCitation":"(Farhan HR &amp; Nurmandi, 2022)","plainTextFormattedCitation":"(Farhan HR &amp; Nurmandi, 2022)","previouslyFormattedCitation":"(Farhan HR &amp; Nurmandi, 2022)"},"properties":{"noteIndex":0},"schema":"https://github.com/citation-style-language/schema/raw/master/csl-citation.json"}</w:instrText>
      </w:r>
      <w:r w:rsidR="00FD6ED5">
        <w:rPr>
          <w:sz w:val="22"/>
        </w:rPr>
        <w:fldChar w:fldCharType="separate"/>
      </w:r>
      <w:r w:rsidR="000E796E" w:rsidRPr="000E796E">
        <w:rPr>
          <w:noProof/>
          <w:sz w:val="22"/>
        </w:rPr>
        <w:t>(Farhan HR &amp; Nurmandi, 2022)</w:t>
      </w:r>
      <w:r w:rsidR="00FD6ED5">
        <w:rPr>
          <w:sz w:val="22"/>
        </w:rPr>
        <w:fldChar w:fldCharType="end"/>
      </w:r>
      <w:r w:rsidR="000E796E">
        <w:rPr>
          <w:sz w:val="22"/>
        </w:rPr>
        <w:t>.</w:t>
      </w:r>
      <w:r w:rsidRPr="00D81F5F">
        <w:rPr>
          <w:sz w:val="22"/>
        </w:rPr>
        <w:t xml:space="preserve"> Each circle (node) represents a keyword, with the size reflecting its frequency of occurrence, while the </w:t>
      </w:r>
      <w:proofErr w:type="spellStart"/>
      <w:r w:rsidRPr="00D81F5F">
        <w:rPr>
          <w:sz w:val="22"/>
        </w:rPr>
        <w:t>color</w:t>
      </w:r>
      <w:proofErr w:type="spellEnd"/>
      <w:r w:rsidRPr="00D81F5F">
        <w:rPr>
          <w:sz w:val="22"/>
        </w:rPr>
        <w:t xml:space="preserve"> indicates clusters of keywords that frequently co-occur. The connecting lines between the nodes show the co-occurrence relationship between the keywords, where the thicker the line, the more frequently the two keywords co-occur in the publications. Overall, this visualization illustrates the structure and focus of research in the field of digital transformation as well as the relationship between various relevant topics.</w:t>
      </w:r>
    </w:p>
    <w:p w14:paraId="0401CFFC" w14:textId="77777777" w:rsidR="00D81F5F" w:rsidRPr="00D81F5F" w:rsidRDefault="00D81F5F" w:rsidP="00D81F5F">
      <w:pPr>
        <w:spacing w:line="360" w:lineRule="auto"/>
        <w:jc w:val="center"/>
        <w:rPr>
          <w:sz w:val="24"/>
          <w:szCs w:val="24"/>
        </w:rPr>
      </w:pPr>
      <w:r w:rsidRPr="00D81F5F">
        <w:rPr>
          <w:noProof/>
          <w:sz w:val="24"/>
          <w:szCs w:val="24"/>
        </w:rPr>
        <w:drawing>
          <wp:inline distT="0" distB="0" distL="0" distR="0" wp14:anchorId="1A0D633B" wp14:editId="30809180">
            <wp:extent cx="3190628" cy="1909923"/>
            <wp:effectExtent l="0" t="0" r="0" b="0"/>
            <wp:docPr id="174113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3757" name="Picture 17411375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98589" cy="1914688"/>
                    </a:xfrm>
                    <a:prstGeom prst="rect">
                      <a:avLst/>
                    </a:prstGeom>
                  </pic:spPr>
                </pic:pic>
              </a:graphicData>
            </a:graphic>
          </wp:inline>
        </w:drawing>
      </w:r>
    </w:p>
    <w:p w14:paraId="5494B88F" w14:textId="77777777" w:rsidR="00D81F5F" w:rsidRPr="00D81F5F" w:rsidRDefault="00D81F5F" w:rsidP="00D81F5F">
      <w:pPr>
        <w:spacing w:after="0" w:line="360" w:lineRule="auto"/>
        <w:jc w:val="center"/>
        <w:rPr>
          <w:sz w:val="24"/>
          <w:szCs w:val="24"/>
        </w:rPr>
      </w:pPr>
      <w:r w:rsidRPr="00D81F5F">
        <w:rPr>
          <w:szCs w:val="20"/>
        </w:rPr>
        <w:t xml:space="preserve">Network Map </w:t>
      </w:r>
      <w:r w:rsidRPr="00D81F5F">
        <w:rPr>
          <w:sz w:val="24"/>
          <w:szCs w:val="24"/>
        </w:rPr>
        <w:t>Visualization of co-occurrence author keyword overlay</w:t>
      </w:r>
    </w:p>
    <w:p w14:paraId="687920C3" w14:textId="6DAC5C3B" w:rsidR="00D81F5F" w:rsidRPr="00D81F5F" w:rsidRDefault="00D81F5F" w:rsidP="0063212F">
      <w:pPr>
        <w:spacing w:after="0" w:line="360" w:lineRule="auto"/>
        <w:ind w:left="284"/>
        <w:rPr>
          <w:sz w:val="22"/>
        </w:rPr>
      </w:pPr>
      <w:r w:rsidRPr="00D81F5F">
        <w:rPr>
          <w:sz w:val="22"/>
        </w:rPr>
        <w:t>The figure displays an author keyword co-occurrence overlay visualization illustrating the relationship between frequently co-occurring keywords in scholarly publications related to "digital transformation" and other related topics, with an added time dimension showing the development of research trends over the years</w:t>
      </w:r>
      <w:r w:rsidR="000E796E">
        <w:rPr>
          <w:sz w:val="22"/>
        </w:rPr>
        <w:t xml:space="preserve"> </w:t>
      </w:r>
      <w:r w:rsidR="001644D9">
        <w:rPr>
          <w:sz w:val="22"/>
        </w:rPr>
        <w:fldChar w:fldCharType="begin" w:fldLock="1"/>
      </w:r>
      <w:r w:rsidR="000E796E">
        <w:rPr>
          <w:sz w:val="22"/>
        </w:rPr>
        <w:instrText>ADDIN CSL_CITATION {"citationItems":[{"id":"ITEM-1","itemData":{"DOI":"10.3390/su16020742","ISSN":"20711050","abstract":"Logistics is significantly impacted by quality/quantity issues associated with data collection and data sharing restrictions. Nonetheless, public data from national entities and internet-of-things (IoT) solutions enable the development of integrated tools for performance analysis and real-time optimization of logistics networks. This study proposes a three-module data-driven system architecture that covers (a) logistics data collection tools, (b) logistics services performance evaluation, and (c) the transition to synchromodal systems. Module 1 integrates multisource data from national logistics platforms and embedded devices placed within intermodal containers. A multigraph representation of the problem is conceived. Environmental, economic, and operational data are generated and injected into a digital twin. Thus, key performance indicators (KPIs) are computed by simulation or direct transformation of the collected data. Module 2 uses Multi-directional Efficiency Analysis, an optimization algorithm that benchmarks multimodal transportation routes of containers using prior KPIs. Outputs are a technical performance index relevant to logistics clients and improvement measures for logistics service providers. A real case study application of the solution proposed for Module 2 is presented. Module 3 provides real-time scheduling and assignment models using CP-sat solvers, accommodating varying system dynamics and resource availability, minimizing makespan and operational costs.","author":[{"dropping-particle":"","family":"Brochado","given":"Ângela F.","non-dropping-particle":"","parse-names":false,"suffix":""},{"dropping-particle":"","family":"Rocha","given":"Eugénio M.","non-dropping-particle":"","parse-names":false,"suffix":""},{"dropping-particle":"","family":"Costa","given":"Diogo","non-dropping-particle":"","parse-names":false,"suffix":""}],"container-title":"Sustainability (Switzerland)","id":"ITEM-1","issue":"2","issued":{"date-parts":[["2024"]]},"title":"A Modular IoT-Based Architecture for Logistics Service Performance Assessment and Real-Time Scheduling towards a Synchromodal Transport System","type":"article-journal","volume":"16"},"uris":["http://www.mendeley.com/documents/?uuid=1ec2b3a6-f88c-46aa-b5c8-3f5ee45067fd"]}],"mendeley":{"formattedCitation":"(Brochado et al., 2024)","plainTextFormattedCitation":"(Brochado et al., 2024)","previouslyFormattedCitation":"(Brochado et al., 2024)"},"properties":{"noteIndex":0},"schema":"https://github.com/citation-style-language/schema/raw/master/csl-citation.json"}</w:instrText>
      </w:r>
      <w:r w:rsidR="001644D9">
        <w:rPr>
          <w:sz w:val="22"/>
        </w:rPr>
        <w:fldChar w:fldCharType="separate"/>
      </w:r>
      <w:r w:rsidR="000E796E" w:rsidRPr="000E796E">
        <w:rPr>
          <w:noProof/>
          <w:sz w:val="22"/>
        </w:rPr>
        <w:t>(Brochado et al., 2024)</w:t>
      </w:r>
      <w:r w:rsidR="001644D9">
        <w:rPr>
          <w:sz w:val="22"/>
        </w:rPr>
        <w:fldChar w:fldCharType="end"/>
      </w:r>
      <w:r w:rsidR="000E796E">
        <w:rPr>
          <w:sz w:val="22"/>
        </w:rPr>
        <w:t>.</w:t>
      </w:r>
      <w:r w:rsidRPr="00D81F5F">
        <w:rPr>
          <w:sz w:val="22"/>
        </w:rPr>
        <w:t xml:space="preserve"> The </w:t>
      </w:r>
      <w:proofErr w:type="spellStart"/>
      <w:r w:rsidRPr="00D81F5F">
        <w:rPr>
          <w:sz w:val="22"/>
        </w:rPr>
        <w:t>color</w:t>
      </w:r>
      <w:proofErr w:type="spellEnd"/>
      <w:r w:rsidRPr="00D81F5F">
        <w:rPr>
          <w:sz w:val="22"/>
        </w:rPr>
        <w:t xml:space="preserve"> of the nodes (circles) represents the year in which the keyword was most used, with a </w:t>
      </w:r>
      <w:proofErr w:type="spellStart"/>
      <w:r w:rsidRPr="00D81F5F">
        <w:rPr>
          <w:sz w:val="22"/>
        </w:rPr>
        <w:t>color</w:t>
      </w:r>
      <w:proofErr w:type="spellEnd"/>
      <w:r w:rsidRPr="00D81F5F">
        <w:rPr>
          <w:sz w:val="22"/>
        </w:rPr>
        <w:t xml:space="preserve"> gradient from blue (2019) to yellow (2023), showing how the research focus has evolved over time. For example, keywords related to "covid-19" tend to appear in yellow, indicating that this is a relatively new topic, whereas older keywords such as "digital governance" and "e-government" are darker in </w:t>
      </w:r>
      <w:proofErr w:type="spellStart"/>
      <w:r w:rsidRPr="00D81F5F">
        <w:rPr>
          <w:sz w:val="22"/>
        </w:rPr>
        <w:t>color</w:t>
      </w:r>
      <w:proofErr w:type="spellEnd"/>
      <w:r w:rsidRPr="00D81F5F">
        <w:rPr>
          <w:sz w:val="22"/>
        </w:rPr>
        <w:t>, indicating their popularity in previous years</w:t>
      </w:r>
      <w:r w:rsidR="00FD6ED5">
        <w:rPr>
          <w:sz w:val="22"/>
        </w:rPr>
        <w:fldChar w:fldCharType="begin" w:fldLock="1"/>
      </w:r>
      <w:r w:rsidR="000E796E">
        <w:rPr>
          <w:sz w:val="22"/>
        </w:rPr>
        <w:instrText>ADDIN CSL_CITATION {"citationItems":[{"id":"ITEM-1","itemData":{"DOI":"10.3390/su16010228","ISSN":"20711050","abstract":"The pandemic has exacerbated the effects of the digital transformation: the extractive economy is steadily giving way to the new economic space—the digital economy. This transformation shakes the very foundations of the existence and purpose of law, i.e., the regulation of social relations. However, today, the consequences of developing tech in an unsustainable manner are becoming obvious. Despite the internet’s many benefits, it also erodes trust and fuels misinformation, polarization, and inequality. These developments occur partly because the algorithms that shape our economies, society, and even public discourse were developed with few legal restrictions or commonly held ethical standards. It is becoming increasingly obvious that the technologies that currently shape our socio-economic relations must be consistent with both our shared norms and values and the existing rules. The main question of this study is how to correctly introduce tech that is legal by design, but also, and especially, liable and sustainable by design. The underlying questions are hence, firstly: to this end, do we need (to create) a whole new body of norms, law, and regulation? Alternatively, are there already legal fields, concepts, and tools that can help us lay comprehensive groundwork for tech that is liable and sustainable by design? The central object of this study is to address this problem with regard to the types of organization that is in any way involved in or at least related to tech and innovation, essentially, the Web 3-4 actors. My principal method is systems analysis, which engages with a system as a whole. The construct of regulatory compliant and sustainable tech is thus analysed both functionally and institutionally, with concepts including norm-setting and law-making, formal application and enforcement, case law, real-world effects, and limitations. The objective of the article is to first synthesize the pre-existing legal and regulatory fields and constructs, and then analyse in a succinct yet systematic manner the conditions for their applicability to, and efficiency for, regulation of Web 3.0 (and soon, Web 4.0), as well as their limits. In the course of the study, I found that there are a few pre-existing legal fields, concepts, and tools that can pave the way to creating a Web that is liable and sustainable by design. I have also identified two key developments that arise from the digital transformation: (i) the digital economic space creates the so-ca…","author":[{"dropping-particle":"","family":"Aseeva","given":"Anna","non-dropping-particle":"","parse-names":false,"suffix":""}],"container-title":"Sustainability (Switzerland)","id":"ITEM-1","issue":"1","issued":{"date-parts":[["2024"]]},"language":"English","publisher":"Multidisciplinary Digital Publishing Institute (MDPI)","publisher-place":"Legal Design GARDEN Association, Paris, 75010, France","title":"Liable and Sustainable by Design: A Toolbox for a Regulatory Compliant and Sustainable Tech","type":"article-journal","volume":"16"},"uris":["http://www.mendeley.com/documents/?uuid=fad909f1-e9e5-4e60-a424-4698e079b3b7"]}],"mendeley":{"formattedCitation":"(Aseeva, 2024)","plainTextFormattedCitation":"(Aseeva, 2024)","previouslyFormattedCitation":"(Aseeva, 2024)"},"properties":{"noteIndex":0},"schema":"https://github.com/citation-style-language/schema/raw/master/csl-citation.json"}</w:instrText>
      </w:r>
      <w:r w:rsidR="00FD6ED5">
        <w:rPr>
          <w:sz w:val="22"/>
        </w:rPr>
        <w:fldChar w:fldCharType="separate"/>
      </w:r>
      <w:r w:rsidR="000E796E" w:rsidRPr="000E796E">
        <w:rPr>
          <w:noProof/>
          <w:sz w:val="22"/>
        </w:rPr>
        <w:t>(Aseeva, 2024)</w:t>
      </w:r>
      <w:r w:rsidR="00FD6ED5">
        <w:rPr>
          <w:sz w:val="22"/>
        </w:rPr>
        <w:fldChar w:fldCharType="end"/>
      </w:r>
      <w:r w:rsidR="000E796E">
        <w:rPr>
          <w:sz w:val="22"/>
        </w:rPr>
        <w:t>.</w:t>
      </w:r>
      <w:r w:rsidRPr="00D81F5F">
        <w:rPr>
          <w:sz w:val="22"/>
        </w:rPr>
        <w:t xml:space="preserve"> The fixed connecting lines show the co-occurrence relationship between the keywords, giving an idea of how these concepts are related to each other in a dynamic time context.</w:t>
      </w:r>
    </w:p>
    <w:p w14:paraId="09EAB861" w14:textId="77777777" w:rsidR="00D81F5F" w:rsidRPr="00D81F5F" w:rsidRDefault="00D81F5F" w:rsidP="00D81F5F">
      <w:pPr>
        <w:spacing w:after="0" w:line="360" w:lineRule="auto"/>
        <w:jc w:val="center"/>
        <w:rPr>
          <w:sz w:val="24"/>
          <w:szCs w:val="24"/>
        </w:rPr>
      </w:pPr>
      <w:r w:rsidRPr="00D81F5F">
        <w:rPr>
          <w:noProof/>
          <w:sz w:val="24"/>
          <w:szCs w:val="24"/>
        </w:rPr>
        <w:drawing>
          <wp:inline distT="0" distB="0" distL="0" distR="0" wp14:anchorId="57CAFCCF" wp14:editId="299E1461">
            <wp:extent cx="2883529" cy="2090598"/>
            <wp:effectExtent l="0" t="0" r="0" b="5080"/>
            <wp:docPr id="719672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72058" name="Picture 71967205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04351" cy="2105694"/>
                    </a:xfrm>
                    <a:prstGeom prst="rect">
                      <a:avLst/>
                    </a:prstGeom>
                  </pic:spPr>
                </pic:pic>
              </a:graphicData>
            </a:graphic>
          </wp:inline>
        </w:drawing>
      </w:r>
    </w:p>
    <w:p w14:paraId="0CB0050F" w14:textId="77777777" w:rsidR="00D81F5F" w:rsidRPr="00D81F5F" w:rsidRDefault="00D81F5F" w:rsidP="00D81F5F">
      <w:pPr>
        <w:spacing w:after="0" w:line="360" w:lineRule="auto"/>
        <w:jc w:val="center"/>
        <w:rPr>
          <w:sz w:val="24"/>
          <w:szCs w:val="24"/>
        </w:rPr>
      </w:pPr>
      <w:r w:rsidRPr="00D81F5F">
        <w:rPr>
          <w:szCs w:val="20"/>
        </w:rPr>
        <w:t>Figure 7: Network Map of Relationships between countries</w:t>
      </w:r>
    </w:p>
    <w:p w14:paraId="57BEBD2E" w14:textId="77777777" w:rsidR="00D81F5F" w:rsidRPr="00D81F5F" w:rsidRDefault="00D81F5F" w:rsidP="00D81F5F">
      <w:pPr>
        <w:spacing w:line="360" w:lineRule="auto"/>
        <w:jc w:val="center"/>
        <w:rPr>
          <w:sz w:val="24"/>
          <w:szCs w:val="24"/>
        </w:rPr>
      </w:pPr>
    </w:p>
    <w:p w14:paraId="4B6C7869" w14:textId="77777777" w:rsidR="00D81F5F" w:rsidRPr="00D81F5F" w:rsidRDefault="00D81F5F" w:rsidP="0063212F">
      <w:pPr>
        <w:spacing w:line="360" w:lineRule="auto"/>
        <w:ind w:left="284"/>
        <w:rPr>
          <w:sz w:val="22"/>
        </w:rPr>
      </w:pPr>
      <w:r w:rsidRPr="00D81F5F">
        <w:rPr>
          <w:sz w:val="22"/>
        </w:rPr>
        <w:t xml:space="preserve">This figure is a network visualization from </w:t>
      </w:r>
      <w:proofErr w:type="spellStart"/>
      <w:r w:rsidRPr="00D81F5F">
        <w:rPr>
          <w:sz w:val="22"/>
        </w:rPr>
        <w:t>VOSviewer</w:t>
      </w:r>
      <w:proofErr w:type="spellEnd"/>
      <w:r w:rsidRPr="00D81F5F">
        <w:rPr>
          <w:sz w:val="22"/>
        </w:rPr>
        <w:t xml:space="preserve"> that shows the relationship between countries based on collaboration or influence in a context, with additional time information displayed through a </w:t>
      </w:r>
      <w:proofErr w:type="spellStart"/>
      <w:r w:rsidRPr="00D81F5F">
        <w:rPr>
          <w:sz w:val="22"/>
        </w:rPr>
        <w:t>color</w:t>
      </w:r>
      <w:proofErr w:type="spellEnd"/>
      <w:r w:rsidRPr="00D81F5F">
        <w:rPr>
          <w:sz w:val="22"/>
        </w:rPr>
        <w:t xml:space="preserve"> scale from 2021 to 2022.5. Each dot represents a country, and the connecting lines are </w:t>
      </w:r>
      <w:proofErr w:type="spellStart"/>
      <w:r w:rsidRPr="00D81F5F">
        <w:rPr>
          <w:sz w:val="22"/>
        </w:rPr>
        <w:t>colored</w:t>
      </w:r>
      <w:proofErr w:type="spellEnd"/>
      <w:r w:rsidRPr="00D81F5F">
        <w:rPr>
          <w:sz w:val="22"/>
        </w:rPr>
        <w:t xml:space="preserve"> according to the period of collaboration, where blue indicates earlier collaboration and yellow indicates more recent collaboration. The United Kingdom is at the </w:t>
      </w:r>
      <w:proofErr w:type="spellStart"/>
      <w:r w:rsidRPr="00D81F5F">
        <w:rPr>
          <w:sz w:val="22"/>
        </w:rPr>
        <w:t>center</w:t>
      </w:r>
      <w:proofErr w:type="spellEnd"/>
      <w:r w:rsidRPr="00D81F5F">
        <w:rPr>
          <w:sz w:val="22"/>
        </w:rPr>
        <w:t xml:space="preserve"> of the network, signifying a central role in collaboration with many countries such as Croatia, Slovenia, and Italy. Countries such as Belgium and the Netherlands have strong relationships and vary in the period of collaboration, while Germany shows cross-country relationships with the Russian Federation, the United States, and Sweden. This visualization illustrates the global interactions between countries and the development of their collaboration over the </w:t>
      </w:r>
      <w:proofErr w:type="spellStart"/>
      <w:r w:rsidRPr="00D81F5F">
        <w:rPr>
          <w:sz w:val="22"/>
        </w:rPr>
        <w:t>analyzed</w:t>
      </w:r>
      <w:proofErr w:type="spellEnd"/>
      <w:r w:rsidRPr="00D81F5F">
        <w:rPr>
          <w:sz w:val="22"/>
        </w:rPr>
        <w:t xml:space="preserve"> time span.</w:t>
      </w:r>
    </w:p>
    <w:p w14:paraId="1B5420CC" w14:textId="77777777" w:rsidR="00D81F5F" w:rsidRPr="00D81F5F" w:rsidRDefault="00D81F5F" w:rsidP="00D81F5F">
      <w:pPr>
        <w:spacing w:after="0" w:line="360" w:lineRule="auto"/>
        <w:jc w:val="center"/>
        <w:rPr>
          <w:sz w:val="24"/>
          <w:szCs w:val="24"/>
        </w:rPr>
      </w:pPr>
      <w:r w:rsidRPr="00D81F5F">
        <w:rPr>
          <w:noProof/>
          <w:sz w:val="24"/>
          <w:szCs w:val="24"/>
        </w:rPr>
        <w:drawing>
          <wp:inline distT="0" distB="0" distL="0" distR="0" wp14:anchorId="4AE057AD" wp14:editId="4030C263">
            <wp:extent cx="3105339" cy="2251422"/>
            <wp:effectExtent l="0" t="0" r="0" b="0"/>
            <wp:docPr id="942069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069423" name="Picture 94206942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24151" cy="2265061"/>
                    </a:xfrm>
                    <a:prstGeom prst="rect">
                      <a:avLst/>
                    </a:prstGeom>
                  </pic:spPr>
                </pic:pic>
              </a:graphicData>
            </a:graphic>
          </wp:inline>
        </w:drawing>
      </w:r>
    </w:p>
    <w:p w14:paraId="057B04FC" w14:textId="77777777" w:rsidR="00D81F5F" w:rsidRPr="00D81F5F" w:rsidRDefault="00D81F5F" w:rsidP="00D81F5F">
      <w:pPr>
        <w:spacing w:after="0" w:line="360" w:lineRule="auto"/>
        <w:jc w:val="center"/>
        <w:rPr>
          <w:sz w:val="24"/>
          <w:szCs w:val="24"/>
        </w:rPr>
      </w:pPr>
      <w:r w:rsidRPr="00D81F5F">
        <w:rPr>
          <w:szCs w:val="20"/>
        </w:rPr>
        <w:t>Network Map Network Visualization co-authorship organization</w:t>
      </w:r>
    </w:p>
    <w:p w14:paraId="5B7AE6FA" w14:textId="77777777" w:rsidR="00D81F5F" w:rsidRPr="00D81F5F" w:rsidRDefault="00D81F5F" w:rsidP="0063212F">
      <w:pPr>
        <w:spacing w:line="360" w:lineRule="auto"/>
        <w:ind w:left="284"/>
        <w:rPr>
          <w:sz w:val="22"/>
        </w:rPr>
      </w:pPr>
      <w:r w:rsidRPr="00D81F5F">
        <w:rPr>
          <w:sz w:val="22"/>
        </w:rPr>
        <w:t>This visualization depicts a network of cooperation between organizations based on co-authorship in scientific publications, where each node represents an institution, such as "the London Academy of Science" or "state university, Ukraine," and the connecting lines between nodes indicate collaboration in the writing of scientific articles. The size of the nodes indicates the frequency of an organization's involvement in co-authorship, while the thickness of the lines indicates the strength or intensity of collaboration between those organizations. This visualization helps understand patterns of scientific collaboration, identify key actors in research networks, and see how knowledge and resources are transferred between institutions.</w:t>
      </w:r>
    </w:p>
    <w:p w14:paraId="14FBDDD7" w14:textId="77777777" w:rsidR="00D81F5F" w:rsidRPr="00D81F5F" w:rsidRDefault="00D81F5F" w:rsidP="00D81F5F">
      <w:pPr>
        <w:spacing w:after="0" w:line="360" w:lineRule="auto"/>
        <w:jc w:val="center"/>
        <w:rPr>
          <w:sz w:val="24"/>
          <w:szCs w:val="24"/>
        </w:rPr>
      </w:pPr>
      <w:r w:rsidRPr="00D81F5F">
        <w:rPr>
          <w:noProof/>
          <w:sz w:val="24"/>
          <w:szCs w:val="24"/>
        </w:rPr>
        <w:drawing>
          <wp:inline distT="0" distB="0" distL="0" distR="0" wp14:anchorId="0DA4473E" wp14:editId="022AD4C2">
            <wp:extent cx="3028384" cy="1812803"/>
            <wp:effectExtent l="0" t="0" r="635" b="0"/>
            <wp:docPr id="1380897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897462" name="Picture 138089746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37352" cy="1818172"/>
                    </a:xfrm>
                    <a:prstGeom prst="rect">
                      <a:avLst/>
                    </a:prstGeom>
                  </pic:spPr>
                </pic:pic>
              </a:graphicData>
            </a:graphic>
          </wp:inline>
        </w:drawing>
      </w:r>
    </w:p>
    <w:p w14:paraId="1D7A2C7E" w14:textId="77777777" w:rsidR="00D81F5F" w:rsidRPr="00D81F5F" w:rsidRDefault="00D81F5F" w:rsidP="00D81F5F">
      <w:pPr>
        <w:spacing w:after="0" w:line="360" w:lineRule="auto"/>
        <w:jc w:val="center"/>
        <w:rPr>
          <w:sz w:val="24"/>
          <w:szCs w:val="24"/>
        </w:rPr>
      </w:pPr>
      <w:r w:rsidRPr="00D81F5F">
        <w:rPr>
          <w:szCs w:val="20"/>
        </w:rPr>
        <w:t>Figure 8. Network Map Overlay Visualization of co-authorship authors</w:t>
      </w:r>
    </w:p>
    <w:p w14:paraId="730997C4" w14:textId="77777777" w:rsidR="00D81F5F" w:rsidRPr="00D81F5F" w:rsidRDefault="00D81F5F" w:rsidP="0063212F">
      <w:pPr>
        <w:spacing w:line="360" w:lineRule="auto"/>
        <w:ind w:left="284"/>
        <w:rPr>
          <w:sz w:val="22"/>
        </w:rPr>
      </w:pPr>
      <w:r w:rsidRPr="00D81F5F">
        <w:rPr>
          <w:sz w:val="22"/>
        </w:rPr>
        <w:t xml:space="preserve">The co-authorship overlay visualization shows the collaboration relationship between authors in a scientific publication network, where each node represents an </w:t>
      </w:r>
      <w:proofErr w:type="gramStart"/>
      <w:r w:rsidRPr="00D81F5F">
        <w:rPr>
          <w:sz w:val="22"/>
        </w:rPr>
        <w:t>author</w:t>
      </w:r>
      <w:proofErr w:type="gramEnd"/>
      <w:r w:rsidRPr="00D81F5F">
        <w:rPr>
          <w:sz w:val="22"/>
        </w:rPr>
        <w:t xml:space="preserve"> and the edges indicate the frequency of collaboration. Larger nodes reflect authors with larger contributions, and thicker lines indicate more frequent collaboration. The </w:t>
      </w:r>
      <w:proofErr w:type="spellStart"/>
      <w:r w:rsidRPr="00D81F5F">
        <w:rPr>
          <w:sz w:val="22"/>
        </w:rPr>
        <w:t>colors</w:t>
      </w:r>
      <w:proofErr w:type="spellEnd"/>
      <w:r w:rsidRPr="00D81F5F">
        <w:rPr>
          <w:sz w:val="22"/>
        </w:rPr>
        <w:t xml:space="preserve"> of the nodes and lines form clusters that reflect groups of authors who frequently collaborate, with red and green representing the two main groups. Authors like </w:t>
      </w:r>
      <w:proofErr w:type="spellStart"/>
      <w:r w:rsidRPr="00D81F5F">
        <w:rPr>
          <w:i/>
          <w:iCs/>
          <w:sz w:val="22"/>
        </w:rPr>
        <w:t>dominic</w:t>
      </w:r>
      <w:proofErr w:type="spellEnd"/>
      <w:r w:rsidRPr="00D81F5F">
        <w:rPr>
          <w:i/>
          <w:iCs/>
          <w:sz w:val="22"/>
        </w:rPr>
        <w:t xml:space="preserve">, </w:t>
      </w:r>
      <w:proofErr w:type="spellStart"/>
      <w:r w:rsidRPr="00D81F5F">
        <w:rPr>
          <w:i/>
          <w:iCs/>
          <w:sz w:val="22"/>
        </w:rPr>
        <w:t>p.d.d</w:t>
      </w:r>
      <w:proofErr w:type="spellEnd"/>
      <w:r w:rsidRPr="00D81F5F">
        <w:rPr>
          <w:i/>
          <w:iCs/>
          <w:sz w:val="22"/>
        </w:rPr>
        <w:t xml:space="preserve">. </w:t>
      </w:r>
      <w:r w:rsidRPr="00D81F5F">
        <w:rPr>
          <w:sz w:val="22"/>
        </w:rPr>
        <w:t xml:space="preserve">act as a link between the two clusters, </w:t>
      </w:r>
      <w:proofErr w:type="spellStart"/>
      <w:r w:rsidRPr="00D81F5F">
        <w:rPr>
          <w:sz w:val="22"/>
        </w:rPr>
        <w:t>signaling</w:t>
      </w:r>
      <w:proofErr w:type="spellEnd"/>
      <w:r w:rsidRPr="00D81F5F">
        <w:rPr>
          <w:sz w:val="22"/>
        </w:rPr>
        <w:t xml:space="preserve"> cross-group collaboration. This visualization helps identify collaboration groups and key authors that connect scientific communities.</w:t>
      </w:r>
    </w:p>
    <w:p w14:paraId="52102AAB" w14:textId="77777777" w:rsidR="00D81F5F" w:rsidRPr="00D81F5F" w:rsidRDefault="00D81F5F" w:rsidP="00D81F5F">
      <w:pPr>
        <w:spacing w:after="0" w:line="360" w:lineRule="auto"/>
        <w:jc w:val="center"/>
        <w:rPr>
          <w:sz w:val="24"/>
          <w:szCs w:val="24"/>
        </w:rPr>
      </w:pPr>
      <w:r w:rsidRPr="00D81F5F">
        <w:rPr>
          <w:noProof/>
          <w:sz w:val="24"/>
          <w:szCs w:val="24"/>
        </w:rPr>
        <w:drawing>
          <wp:inline distT="0" distB="0" distL="0" distR="0" wp14:anchorId="2C5E7F99" wp14:editId="581594F5">
            <wp:extent cx="3001243" cy="2175951"/>
            <wp:effectExtent l="0" t="0" r="8890" b="0"/>
            <wp:docPr id="7851534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153473" name="Picture 785153473"/>
                    <pic:cNvPicPr/>
                  </pic:nvPicPr>
                  <pic:blipFill>
                    <a:blip r:embed="rId22">
                      <a:extLst>
                        <a:ext uri="{28A0092B-C50C-407E-A947-70E740481C1C}">
                          <a14:useLocalDpi xmlns:a14="http://schemas.microsoft.com/office/drawing/2010/main" val="0"/>
                        </a:ext>
                      </a:extLst>
                    </a:blip>
                    <a:stretch>
                      <a:fillRect/>
                    </a:stretch>
                  </pic:blipFill>
                  <pic:spPr>
                    <a:xfrm>
                      <a:off x="0" y="0"/>
                      <a:ext cx="367144859" cy="266186118"/>
                    </a:xfrm>
                    <a:prstGeom prst="rect">
                      <a:avLst/>
                    </a:prstGeom>
                  </pic:spPr>
                </pic:pic>
              </a:graphicData>
            </a:graphic>
          </wp:inline>
        </w:drawing>
      </w:r>
    </w:p>
    <w:p w14:paraId="5141D4B0" w14:textId="77777777" w:rsidR="00D81F5F" w:rsidRPr="00D81F5F" w:rsidRDefault="00D81F5F" w:rsidP="00D81F5F">
      <w:pPr>
        <w:spacing w:after="0" w:line="360" w:lineRule="auto"/>
        <w:jc w:val="center"/>
        <w:rPr>
          <w:sz w:val="24"/>
          <w:szCs w:val="24"/>
        </w:rPr>
      </w:pPr>
      <w:r w:rsidRPr="00D81F5F">
        <w:rPr>
          <w:szCs w:val="20"/>
        </w:rPr>
        <w:t>Network Visualization Network Map</w:t>
      </w:r>
    </w:p>
    <w:p w14:paraId="6589335C" w14:textId="33332773" w:rsidR="00D81F5F" w:rsidRPr="00D81F5F" w:rsidRDefault="00D81F5F" w:rsidP="0063212F">
      <w:pPr>
        <w:spacing w:line="360" w:lineRule="auto"/>
        <w:ind w:left="284"/>
        <w:rPr>
          <w:sz w:val="22"/>
        </w:rPr>
      </w:pPr>
      <w:r w:rsidRPr="00D81F5F">
        <w:rPr>
          <w:sz w:val="22"/>
        </w:rPr>
        <w:t>The figure shows a network visualization illustrating the relationships between keywords or concepts related to digital transformation in the public sector, such as "digitalization," "e-government," and "smart city</w:t>
      </w:r>
      <w:r w:rsidR="001644D9">
        <w:rPr>
          <w:sz w:val="22"/>
        </w:rPr>
        <w:fldChar w:fldCharType="begin" w:fldLock="1"/>
      </w:r>
      <w:r w:rsidR="000E796E">
        <w:rPr>
          <w:sz w:val="22"/>
        </w:rPr>
        <w:instrText>ADDIN CSL_CITATION {"citationItems":[{"id":"ITEM-1","itemData":{"DOI":"10.3390/su16072686","ISSN":"20711050","abstract":"The public sector presents important steps for digital transformation. Digital transformation uses a series of tools and methods to improve the relationship with citizens and improve benefits. This paper explores the role of artificial intelligence (AI) in governance processes and provides public institutions with insight regarding the impact of integrating chatbot communication tools when interacting with citizens. The present research provides an analysis of the socio-economic factors that determine the use of artificial intelligence tools, i.e., the propensity to interact more with the public administration as a result of improved communication through virtual assistants, and highlights the implications of AI in improving services towards civil society by determining the degree of satisfaction on aspects such as reduced waiting times in queues, access to information regardless of the traditional working hours of civil servants, quicker execution of operations, et al. The results, derived from an analysis of 507 sets of responses obtained from an online questionnaire, indicate that a number of variables, such as residential environment, employment status, household income and education level, significantly impact the effectiveness of artificial intelligence in mediating citizen communication with government.","author":[{"dropping-particle":"","family":"Pislaru","given":"Marius","non-dropping-particle":"","parse-names":false,"suffix":""},{"dropping-particle":"","family":"Vlad","given":"Ciprian Sorin","non-dropping-particle":"","parse-names":false,"suffix":""},{"dropping-particle":"","family":"Ivascu","given":"Larisa","non-dropping-particle":"","parse-names":false,"suffix":""},{"dropping-particle":"","family":"Mircea","given":"Iulia Ioana","non-dropping-particle":"","parse-names":false,"suffix":""}],"container-title":"Sustainability (Switzerland) ","id":"ITEM-1","issue":"7","issued":{"date-parts":[["2024"]]},"language":"English","publisher":"Multidisciplinary Digital Publishing Institute (MDPI)","publisher-place":"Department of Engineering Management, Faculty of Industrial Design and Business Management, “Gheorghe Asachi” Technical University of Iasi, Iasi, 700050, Romania","title":"Citizen-Centric Governance: Enhancing Citizen Engagement through Artificial Intelligence Tools","type":"article-journal","volume":"16"},"uris":["http://www.mendeley.com/documents/?uuid=72eb36cd-8bb6-464a-a120-f7b4ea1df6af"]}],"mendeley":{"formattedCitation":"(Pislaru et al., 2024)","plainTextFormattedCitation":"(Pislaru et al., 2024)","previouslyFormattedCitation":"(Pislaru et al., 2024)"},"properties":{"noteIndex":0},"schema":"https://github.com/citation-style-language/schema/raw/master/csl-citation.json"}</w:instrText>
      </w:r>
      <w:r w:rsidR="001644D9">
        <w:rPr>
          <w:sz w:val="22"/>
        </w:rPr>
        <w:fldChar w:fldCharType="separate"/>
      </w:r>
      <w:r w:rsidR="000E796E" w:rsidRPr="000E796E">
        <w:rPr>
          <w:noProof/>
          <w:sz w:val="22"/>
        </w:rPr>
        <w:t>(Pislaru et al., 2024)</w:t>
      </w:r>
      <w:r w:rsidR="001644D9">
        <w:rPr>
          <w:sz w:val="22"/>
        </w:rPr>
        <w:fldChar w:fldCharType="end"/>
      </w:r>
      <w:r w:rsidR="000E796E">
        <w:rPr>
          <w:sz w:val="22"/>
        </w:rPr>
        <w:t>.</w:t>
      </w:r>
      <w:r w:rsidRPr="00D81F5F">
        <w:rPr>
          <w:sz w:val="22"/>
        </w:rPr>
        <w:t xml:space="preserve"> Different circles (nodes) represent these terms, with the size of the circle indicating the frequency or importance of the term. The edges show the relationships between terms, where thicker lines indicate stronger relationships. Different </w:t>
      </w:r>
      <w:proofErr w:type="spellStart"/>
      <w:r w:rsidRPr="00D81F5F">
        <w:rPr>
          <w:sz w:val="22"/>
        </w:rPr>
        <w:t>colors</w:t>
      </w:r>
      <w:proofErr w:type="spellEnd"/>
      <w:r w:rsidRPr="00D81F5F">
        <w:rPr>
          <w:sz w:val="22"/>
        </w:rPr>
        <w:t xml:space="preserve"> in groups of circles indicate clusters or groups of closely related terms. This visualization helps in identifying key themes and trends in the context of digital transformation, with larger and more prominent terms indicating key concepts that are frequently discussed. This visualization was created using "</w:t>
      </w:r>
      <w:proofErr w:type="spellStart"/>
      <w:r w:rsidRPr="00D81F5F">
        <w:rPr>
          <w:sz w:val="22"/>
        </w:rPr>
        <w:t>VOSviewer</w:t>
      </w:r>
      <w:proofErr w:type="spellEnd"/>
      <w:r w:rsidRPr="00D81F5F">
        <w:rPr>
          <w:sz w:val="22"/>
        </w:rPr>
        <w:t xml:space="preserve">" software commonly used for bibliometric analysis. </w:t>
      </w:r>
    </w:p>
    <w:p w14:paraId="5B843EF1" w14:textId="77777777" w:rsidR="00D81F5F" w:rsidRPr="00D81F5F" w:rsidRDefault="00D81F5F" w:rsidP="00D81F5F">
      <w:pPr>
        <w:spacing w:line="360" w:lineRule="auto"/>
        <w:jc w:val="center"/>
        <w:rPr>
          <w:sz w:val="24"/>
          <w:szCs w:val="24"/>
        </w:rPr>
      </w:pPr>
      <w:r w:rsidRPr="00D81F5F">
        <w:rPr>
          <w:noProof/>
          <w:sz w:val="24"/>
          <w:szCs w:val="24"/>
        </w:rPr>
        <w:drawing>
          <wp:inline distT="0" distB="0" distL="0" distR="0" wp14:anchorId="1E2B6A7B" wp14:editId="1046AB6B">
            <wp:extent cx="2833735" cy="1746363"/>
            <wp:effectExtent l="0" t="0" r="5080" b="6350"/>
            <wp:docPr id="15123185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318519" name="Picture 151231851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39686" cy="1750031"/>
                    </a:xfrm>
                    <a:prstGeom prst="rect">
                      <a:avLst/>
                    </a:prstGeom>
                  </pic:spPr>
                </pic:pic>
              </a:graphicData>
            </a:graphic>
          </wp:inline>
        </w:drawing>
      </w:r>
    </w:p>
    <w:p w14:paraId="7B6F7A50" w14:textId="77777777" w:rsidR="00D81F5F" w:rsidRPr="00D81F5F" w:rsidRDefault="00D81F5F" w:rsidP="00D81F5F">
      <w:pPr>
        <w:spacing w:line="360" w:lineRule="auto"/>
        <w:jc w:val="center"/>
        <w:rPr>
          <w:sz w:val="24"/>
          <w:szCs w:val="24"/>
        </w:rPr>
      </w:pPr>
      <w:r w:rsidRPr="00D81F5F">
        <w:rPr>
          <w:szCs w:val="20"/>
        </w:rPr>
        <w:t>Figure 9. Network Map Overlay Visualization</w:t>
      </w:r>
    </w:p>
    <w:p w14:paraId="7EB45C4D" w14:textId="77777777" w:rsidR="00D81F5F" w:rsidRPr="00D81F5F" w:rsidRDefault="00D81F5F" w:rsidP="0063212F">
      <w:pPr>
        <w:spacing w:line="360" w:lineRule="auto"/>
        <w:ind w:left="284"/>
        <w:rPr>
          <w:sz w:val="22"/>
        </w:rPr>
      </w:pPr>
      <w:r w:rsidRPr="00D81F5F">
        <w:rPr>
          <w:sz w:val="22"/>
        </w:rPr>
        <w:t xml:space="preserve">The Overlay Visualization Network Map in the figure shows the relationships between keywords related to digital transformation in the public sector, with </w:t>
      </w:r>
      <w:proofErr w:type="spellStart"/>
      <w:r w:rsidRPr="00D81F5F">
        <w:rPr>
          <w:sz w:val="22"/>
        </w:rPr>
        <w:t>colors</w:t>
      </w:r>
      <w:proofErr w:type="spellEnd"/>
      <w:r w:rsidRPr="00D81F5F">
        <w:rPr>
          <w:sz w:val="22"/>
        </w:rPr>
        <w:t xml:space="preserve"> representing changes in the relevance or occurrence of these concepts over time, as indicated by the </w:t>
      </w:r>
      <w:proofErr w:type="spellStart"/>
      <w:r w:rsidRPr="00D81F5F">
        <w:rPr>
          <w:sz w:val="22"/>
        </w:rPr>
        <w:t>color</w:t>
      </w:r>
      <w:proofErr w:type="spellEnd"/>
      <w:r w:rsidRPr="00D81F5F">
        <w:rPr>
          <w:sz w:val="22"/>
        </w:rPr>
        <w:t xml:space="preserve"> scale at the bottom of the figure. Large circles indicate concepts that are more important or frequently discussed, while lines connecting the circles show the interrelationships between concepts. The </w:t>
      </w:r>
      <w:proofErr w:type="spellStart"/>
      <w:r w:rsidRPr="00D81F5F">
        <w:rPr>
          <w:sz w:val="22"/>
        </w:rPr>
        <w:t>colors</w:t>
      </w:r>
      <w:proofErr w:type="spellEnd"/>
      <w:r w:rsidRPr="00D81F5F">
        <w:rPr>
          <w:sz w:val="22"/>
        </w:rPr>
        <w:t xml:space="preserve"> of the nodes and lines reflect changing trends, where yellow indicates newer concepts and blue for older ones, helping in understanding the evolution of the topic in recent years.</w:t>
      </w:r>
    </w:p>
    <w:p w14:paraId="6845DEF2" w14:textId="77777777" w:rsidR="00D81F5F" w:rsidRPr="00D81F5F" w:rsidRDefault="00D81F5F" w:rsidP="00D81F5F">
      <w:pPr>
        <w:spacing w:after="0" w:line="360" w:lineRule="auto"/>
        <w:jc w:val="center"/>
        <w:rPr>
          <w:sz w:val="24"/>
          <w:szCs w:val="24"/>
        </w:rPr>
      </w:pPr>
      <w:r w:rsidRPr="00D81F5F">
        <w:rPr>
          <w:noProof/>
          <w:sz w:val="24"/>
          <w:szCs w:val="24"/>
        </w:rPr>
        <w:drawing>
          <wp:inline distT="0" distB="0" distL="0" distR="0" wp14:anchorId="6CB751A9" wp14:editId="57E53C49">
            <wp:extent cx="3444844" cy="1946321"/>
            <wp:effectExtent l="0" t="0" r="3810" b="0"/>
            <wp:docPr id="11702426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242607" name="Picture 117024260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72925" cy="1962187"/>
                    </a:xfrm>
                    <a:prstGeom prst="rect">
                      <a:avLst/>
                    </a:prstGeom>
                  </pic:spPr>
                </pic:pic>
              </a:graphicData>
            </a:graphic>
          </wp:inline>
        </w:drawing>
      </w:r>
    </w:p>
    <w:p w14:paraId="5B86D62F" w14:textId="77777777" w:rsidR="00D81F5F" w:rsidRPr="00D81F5F" w:rsidRDefault="00D81F5F" w:rsidP="00D81F5F">
      <w:pPr>
        <w:spacing w:after="0" w:line="360" w:lineRule="auto"/>
        <w:jc w:val="center"/>
        <w:rPr>
          <w:sz w:val="24"/>
          <w:szCs w:val="24"/>
        </w:rPr>
      </w:pPr>
      <w:r w:rsidRPr="00D81F5F">
        <w:rPr>
          <w:szCs w:val="20"/>
        </w:rPr>
        <w:t>Figure 10. Density Visualization Network Map</w:t>
      </w:r>
    </w:p>
    <w:p w14:paraId="5ED3B4F8" w14:textId="77777777" w:rsidR="00D81F5F" w:rsidRPr="00D81F5F" w:rsidRDefault="00D81F5F" w:rsidP="0063212F">
      <w:pPr>
        <w:spacing w:line="360" w:lineRule="auto"/>
        <w:ind w:left="284"/>
        <w:rPr>
          <w:sz w:val="22"/>
        </w:rPr>
      </w:pPr>
      <w:r w:rsidRPr="00D81F5F">
        <w:rPr>
          <w:sz w:val="22"/>
        </w:rPr>
        <w:t xml:space="preserve">The Density Visualization Network Map in the figure shows the density of distribution of keywords or concepts related to digital transformation in the public sector. The </w:t>
      </w:r>
      <w:proofErr w:type="spellStart"/>
      <w:r w:rsidRPr="00D81F5F">
        <w:rPr>
          <w:sz w:val="22"/>
        </w:rPr>
        <w:t>colors</w:t>
      </w:r>
      <w:proofErr w:type="spellEnd"/>
      <w:r w:rsidRPr="00D81F5F">
        <w:rPr>
          <w:sz w:val="22"/>
        </w:rPr>
        <w:t xml:space="preserve"> on the map reflect the density or frequency of occurrence of terms in the network, with red and yellow indicating areas of high density or frequently discussed terms, while green and blue indicate areas of lower density. Areas in red or yellow represent the </w:t>
      </w:r>
      <w:proofErr w:type="spellStart"/>
      <w:r w:rsidRPr="00D81F5F">
        <w:rPr>
          <w:sz w:val="22"/>
        </w:rPr>
        <w:t>center</w:t>
      </w:r>
      <w:proofErr w:type="spellEnd"/>
      <w:r w:rsidRPr="00D81F5F">
        <w:rPr>
          <w:sz w:val="22"/>
        </w:rPr>
        <w:t xml:space="preserve"> of attention or main topics of discussion, such as "digitalization," "e-government," and "public organization," which are the focus in the literature or data </w:t>
      </w:r>
      <w:proofErr w:type="spellStart"/>
      <w:r w:rsidRPr="00D81F5F">
        <w:rPr>
          <w:sz w:val="22"/>
        </w:rPr>
        <w:t>analyzed</w:t>
      </w:r>
      <w:proofErr w:type="spellEnd"/>
      <w:r w:rsidRPr="00D81F5F">
        <w:rPr>
          <w:sz w:val="22"/>
        </w:rPr>
        <w:t>. This map helps identify key areas and sub-topics of importance in the context under study.</w:t>
      </w:r>
    </w:p>
    <w:p w14:paraId="4E76265E" w14:textId="1C7204DE" w:rsidR="008B2319" w:rsidRPr="00D81F5F" w:rsidRDefault="008B2319" w:rsidP="00D81F5F">
      <w:pPr>
        <w:spacing w:after="0" w:line="259" w:lineRule="auto"/>
        <w:ind w:left="0" w:firstLine="0"/>
        <w:jc w:val="left"/>
      </w:pPr>
    </w:p>
    <w:p w14:paraId="25AABA05" w14:textId="5156AC3D" w:rsidR="008B2319" w:rsidRPr="00D81F5F" w:rsidRDefault="00000000">
      <w:pPr>
        <w:pStyle w:val="Heading1"/>
        <w:ind w:left="268" w:right="0" w:hanging="283"/>
        <w:rPr>
          <w:sz w:val="24"/>
          <w:szCs w:val="24"/>
        </w:rPr>
      </w:pPr>
      <w:r w:rsidRPr="00D81F5F">
        <w:rPr>
          <w:sz w:val="24"/>
          <w:szCs w:val="24"/>
        </w:rPr>
        <w:t xml:space="preserve">Conclusion </w:t>
      </w:r>
    </w:p>
    <w:p w14:paraId="678ACB81" w14:textId="77777777" w:rsidR="00D81F5F" w:rsidRPr="00D81F5F" w:rsidRDefault="00D81F5F" w:rsidP="001813E2">
      <w:pPr>
        <w:spacing w:line="360" w:lineRule="auto"/>
        <w:ind w:left="284" w:firstLine="0"/>
        <w:rPr>
          <w:sz w:val="22"/>
        </w:rPr>
      </w:pPr>
      <w:r w:rsidRPr="00D81F5F">
        <w:rPr>
          <w:sz w:val="22"/>
        </w:rPr>
        <w:t xml:space="preserve">This research presents a comprehensive overview of trends and innovations in digital transformation in the public sector, obtained through data analysis from Scopus and visualization using </w:t>
      </w:r>
      <w:proofErr w:type="spellStart"/>
      <w:r w:rsidRPr="00D81F5F">
        <w:rPr>
          <w:sz w:val="22"/>
        </w:rPr>
        <w:t>VOSviewer</w:t>
      </w:r>
      <w:proofErr w:type="spellEnd"/>
      <w:r w:rsidRPr="00D81F5F">
        <w:rPr>
          <w:sz w:val="22"/>
        </w:rPr>
        <w:t>. The findings of this research confirm that digital transformation in the public sector is more than just the adoption of new technologies. The process includes comprehensive changes in organizational structure, business processes, work culture, as well as managerial capabilities to manage technological innovations.</w:t>
      </w:r>
    </w:p>
    <w:p w14:paraId="52ADFE43" w14:textId="77777777" w:rsidR="00D81F5F" w:rsidRPr="00D81F5F" w:rsidRDefault="00D81F5F" w:rsidP="001813E2">
      <w:pPr>
        <w:spacing w:line="360" w:lineRule="auto"/>
        <w:ind w:left="284" w:firstLine="0"/>
        <w:rPr>
          <w:sz w:val="22"/>
        </w:rPr>
      </w:pPr>
      <w:r w:rsidRPr="00D81F5F">
        <w:rPr>
          <w:sz w:val="22"/>
        </w:rPr>
        <w:t>Strong leadership, active engagement from all stakeholders, including the public, and the right policy support have proven to be critical success factors for digital transformation. In addition, flexible and innovation-oriented regulatory and policy support is needed to ensure successful technology adoption in various sectors. The success of digital transformation is also determined by organizational readiness in terms of adequate technological infrastructure and human resource competencies, especially digital skills among public sector employees.</w:t>
      </w:r>
    </w:p>
    <w:p w14:paraId="7800277A" w14:textId="77777777" w:rsidR="00D81F5F" w:rsidRPr="00D81F5F" w:rsidRDefault="00D81F5F" w:rsidP="001813E2">
      <w:pPr>
        <w:spacing w:line="360" w:lineRule="auto"/>
        <w:ind w:left="284" w:firstLine="0"/>
        <w:rPr>
          <w:sz w:val="22"/>
        </w:rPr>
      </w:pPr>
      <w:r w:rsidRPr="00D81F5F">
        <w:rPr>
          <w:sz w:val="22"/>
        </w:rPr>
        <w:t xml:space="preserve">From a global perspective, digital transformation in the public sector faces </w:t>
      </w:r>
      <w:proofErr w:type="gramStart"/>
      <w:r w:rsidRPr="00D81F5F">
        <w:rPr>
          <w:sz w:val="22"/>
        </w:rPr>
        <w:t>a number of</w:t>
      </w:r>
      <w:proofErr w:type="gramEnd"/>
      <w:r w:rsidRPr="00D81F5F">
        <w:rPr>
          <w:sz w:val="22"/>
        </w:rPr>
        <w:t xml:space="preserve"> challenges, such as technology infrastructure gaps, resistance to change among employees, and low levels of digital literacy. In Indonesia in particular, these challenges are compounded by the digital divide between urban and rural areas, which impacts the quality of public services in remote areas. Successful digital transformation in Indonesia will require significant efforts to improve access to digital technology, strengthen infrastructure, and ensure ongoing training for civil servants to adopt new technologies such as artificial intelligence (AI) and the Internet of Things (IoT).</w:t>
      </w:r>
    </w:p>
    <w:p w14:paraId="38F77D0A" w14:textId="77777777" w:rsidR="00D81F5F" w:rsidRPr="00D81F5F" w:rsidRDefault="00D81F5F" w:rsidP="001813E2">
      <w:pPr>
        <w:spacing w:line="360" w:lineRule="auto"/>
        <w:ind w:left="284" w:firstLine="0"/>
        <w:rPr>
          <w:sz w:val="22"/>
        </w:rPr>
      </w:pPr>
      <w:r w:rsidRPr="00D81F5F">
        <w:rPr>
          <w:sz w:val="22"/>
        </w:rPr>
        <w:t>In addition, digital transformation in Indonesia can be strengthened through increased collaboration between the public and private sectors, particularly in building more equitable digital infrastructure. The Indonesian government can leverage public-private partnerships to accelerate digitalization in remote areas and improve the quality of public services. Furthermore, the adoption of clear and measurable performance indicators, such as increased public digital access, decreased bureaucratic time, and number of employees trained in digital skills, will be helpful in monitoring and measuring the success of digital transformation initiatives.</w:t>
      </w:r>
    </w:p>
    <w:p w14:paraId="0984BD15" w14:textId="77777777" w:rsidR="00D81F5F" w:rsidRPr="00D81F5F" w:rsidRDefault="00D81F5F" w:rsidP="001813E2">
      <w:pPr>
        <w:spacing w:line="360" w:lineRule="auto"/>
        <w:ind w:left="284" w:firstLine="0"/>
        <w:rPr>
          <w:sz w:val="22"/>
        </w:rPr>
      </w:pPr>
      <w:r w:rsidRPr="00D81F5F">
        <w:rPr>
          <w:sz w:val="22"/>
        </w:rPr>
        <w:t>The research also highlights the need for a holistic and collaborative approach to managing digital transformation, involving all stakeholders from government, the private sector and society at large. Digital skills development, investment in technology, and regulatory adjustments are key to the long-term success of this transformation.</w:t>
      </w:r>
    </w:p>
    <w:p w14:paraId="53569550" w14:textId="6781990B" w:rsidR="008B2319" w:rsidRPr="001813E2" w:rsidRDefault="00D81F5F" w:rsidP="001813E2">
      <w:pPr>
        <w:spacing w:line="360" w:lineRule="auto"/>
        <w:ind w:left="284" w:firstLine="720"/>
        <w:rPr>
          <w:sz w:val="22"/>
        </w:rPr>
      </w:pPr>
      <w:r w:rsidRPr="00D81F5F">
        <w:rPr>
          <w:sz w:val="22"/>
        </w:rPr>
        <w:t>Overall, this research makes a significant contribution to the literature on digital transformation in the public sector, with a focus on the challenges and opportunities faced by developing countries such as Indonesia. The findings not only provide practical insights for policy makers, but also for academics who want to understand more about the dynamics and development of digital transformation in the public sector. It is hoped that the strategies suggested in this research can guide the Indonesian government and other countries in designing and implementing sustainable and inclusive digital transformation policies.</w:t>
      </w:r>
    </w:p>
    <w:p w14:paraId="3BAAFECC" w14:textId="77777777" w:rsidR="008B2319" w:rsidRPr="00D81F5F" w:rsidRDefault="008B2319">
      <w:pPr>
        <w:spacing w:after="71" w:line="259" w:lineRule="auto"/>
        <w:ind w:left="283" w:firstLine="0"/>
        <w:jc w:val="left"/>
      </w:pPr>
    </w:p>
    <w:p w14:paraId="29FD9EB2" w14:textId="679732E5" w:rsidR="008B2319" w:rsidRPr="005819AB" w:rsidRDefault="00000000">
      <w:pPr>
        <w:pStyle w:val="Heading1"/>
        <w:ind w:left="268" w:right="0" w:hanging="283"/>
        <w:rPr>
          <w:sz w:val="24"/>
          <w:szCs w:val="24"/>
        </w:rPr>
      </w:pPr>
      <w:r w:rsidRPr="005819AB">
        <w:rPr>
          <w:sz w:val="24"/>
          <w:szCs w:val="24"/>
        </w:rPr>
        <w:t xml:space="preserve">Acknowledgement </w:t>
      </w:r>
    </w:p>
    <w:p w14:paraId="310016F1" w14:textId="0C1C8978" w:rsidR="007A5910" w:rsidRPr="000E796E" w:rsidRDefault="000E796E" w:rsidP="000E796E">
      <w:pPr>
        <w:spacing w:line="360" w:lineRule="auto"/>
        <w:ind w:left="284" w:firstLine="0"/>
        <w:rPr>
          <w:sz w:val="22"/>
        </w:rPr>
      </w:pPr>
      <w:r w:rsidRPr="000E796E">
        <w:rPr>
          <w:sz w:val="22"/>
        </w:rPr>
        <w:t>The author expresses his deep gratitude to the Jusuf Kalla School of Government, Universitas Muhammadiyah Yogyakarta, for the exceptional facilities provided during the internship. Thanks to the esteemed tutors whose invaluable guidance and unwavering support were instrumental in completing this manuscript.</w:t>
      </w:r>
    </w:p>
    <w:p w14:paraId="5A51766C" w14:textId="101BE66C" w:rsidR="008B2319" w:rsidRPr="008D0DEC" w:rsidRDefault="00000000" w:rsidP="001813E2">
      <w:pPr>
        <w:spacing w:after="152" w:line="259" w:lineRule="auto"/>
        <w:ind w:left="285" w:hanging="10"/>
        <w:rPr>
          <w:sz w:val="24"/>
          <w:szCs w:val="24"/>
          <w:lang w:val="pt-BR"/>
        </w:rPr>
      </w:pPr>
      <w:r w:rsidRPr="008D0DEC">
        <w:rPr>
          <w:b/>
          <w:sz w:val="24"/>
          <w:szCs w:val="24"/>
          <w:lang w:val="pt-BR"/>
        </w:rPr>
        <w:t xml:space="preserve">References  </w:t>
      </w:r>
    </w:p>
    <w:p w14:paraId="35F817D7" w14:textId="34EC1116" w:rsidR="000E796E" w:rsidRPr="000E796E" w:rsidRDefault="001813E2" w:rsidP="000E796E">
      <w:pPr>
        <w:widowControl w:val="0"/>
        <w:autoSpaceDE w:val="0"/>
        <w:autoSpaceDN w:val="0"/>
        <w:adjustRightInd w:val="0"/>
        <w:spacing w:after="160" w:line="240" w:lineRule="auto"/>
        <w:ind w:left="480" w:hanging="480"/>
        <w:rPr>
          <w:noProof/>
          <w:kern w:val="0"/>
        </w:rPr>
      </w:pPr>
      <w:r w:rsidRPr="001813E2">
        <w:rPr>
          <w:szCs w:val="20"/>
        </w:rPr>
        <w:fldChar w:fldCharType="begin" w:fldLock="1"/>
      </w:r>
      <w:r w:rsidRPr="008D0DEC">
        <w:rPr>
          <w:szCs w:val="20"/>
          <w:lang w:val="pt-BR"/>
        </w:rPr>
        <w:instrText xml:space="preserve">ADDIN Mendeley Bibliography CSL_BIBLIOGRAPHY </w:instrText>
      </w:r>
      <w:r w:rsidRPr="001813E2">
        <w:rPr>
          <w:szCs w:val="20"/>
        </w:rPr>
        <w:fldChar w:fldCharType="separate"/>
      </w:r>
      <w:r w:rsidR="000E796E" w:rsidRPr="008D0DEC">
        <w:rPr>
          <w:noProof/>
          <w:kern w:val="0"/>
          <w:lang w:val="pt-BR"/>
        </w:rPr>
        <w:t xml:space="preserve">Agbozo, E., &amp; Asamoah, B. K. (2019). </w:t>
      </w:r>
      <w:r w:rsidR="000E796E" w:rsidRPr="000E796E">
        <w:rPr>
          <w:noProof/>
          <w:kern w:val="0"/>
        </w:rPr>
        <w:t xml:space="preserve">The role of e-government systems in ensuring government effectiveness and control of corruption. </w:t>
      </w:r>
      <w:r w:rsidR="000E796E" w:rsidRPr="000E796E">
        <w:rPr>
          <w:i/>
          <w:iCs/>
          <w:noProof/>
          <w:kern w:val="0"/>
        </w:rPr>
        <w:t>R-Economy</w:t>
      </w:r>
      <w:r w:rsidR="000E796E" w:rsidRPr="000E796E">
        <w:rPr>
          <w:noProof/>
          <w:kern w:val="0"/>
        </w:rPr>
        <w:t xml:space="preserve">, </w:t>
      </w:r>
      <w:r w:rsidR="000E796E" w:rsidRPr="000E796E">
        <w:rPr>
          <w:i/>
          <w:iCs/>
          <w:noProof/>
          <w:kern w:val="0"/>
        </w:rPr>
        <w:t>5</w:t>
      </w:r>
      <w:r w:rsidR="000E796E" w:rsidRPr="000E796E">
        <w:rPr>
          <w:noProof/>
          <w:kern w:val="0"/>
        </w:rPr>
        <w:t>(2), 53–60. https://doi.org/10.15826/recon.2019.5.2.006</w:t>
      </w:r>
    </w:p>
    <w:p w14:paraId="09B774E4"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Aseeva, A. (2024). Liable and Sustainable by Design: A Toolbox for a Regulatory Compliant and Sustainable Tech. </w:t>
      </w:r>
      <w:r w:rsidRPr="000E796E">
        <w:rPr>
          <w:i/>
          <w:iCs/>
          <w:noProof/>
          <w:kern w:val="0"/>
        </w:rPr>
        <w:t>Sustainability (Switzerland)</w:t>
      </w:r>
      <w:r w:rsidRPr="000E796E">
        <w:rPr>
          <w:noProof/>
          <w:kern w:val="0"/>
        </w:rPr>
        <w:t xml:space="preserve">, </w:t>
      </w:r>
      <w:r w:rsidRPr="000E796E">
        <w:rPr>
          <w:i/>
          <w:iCs/>
          <w:noProof/>
          <w:kern w:val="0"/>
        </w:rPr>
        <w:t>16</w:t>
      </w:r>
      <w:r w:rsidRPr="000E796E">
        <w:rPr>
          <w:noProof/>
          <w:kern w:val="0"/>
        </w:rPr>
        <w:t>(1). https://doi.org/10.3390/su16010228</w:t>
      </w:r>
    </w:p>
    <w:p w14:paraId="5E0C03E0"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Bahl, K., Kiran, R., &amp; Sharma, A. (2023). Scaling Up Banking Performance for the Realisation of Specific Sustainable Development Goals: The Interplay of Digitalisation and Training in the Transformation Journey. </w:t>
      </w:r>
      <w:r w:rsidRPr="000E796E">
        <w:rPr>
          <w:i/>
          <w:iCs/>
          <w:noProof/>
          <w:kern w:val="0"/>
        </w:rPr>
        <w:t>Sustainability (Switzerland)</w:t>
      </w:r>
      <w:r w:rsidRPr="000E796E">
        <w:rPr>
          <w:noProof/>
          <w:kern w:val="0"/>
        </w:rPr>
        <w:t xml:space="preserve">, </w:t>
      </w:r>
      <w:r w:rsidRPr="000E796E">
        <w:rPr>
          <w:i/>
          <w:iCs/>
          <w:noProof/>
          <w:kern w:val="0"/>
        </w:rPr>
        <w:t>15</w:t>
      </w:r>
      <w:r w:rsidRPr="000E796E">
        <w:rPr>
          <w:noProof/>
          <w:kern w:val="0"/>
        </w:rPr>
        <w:t>(18). https://doi.org/10.3390/su151813798</w:t>
      </w:r>
    </w:p>
    <w:p w14:paraId="0DFD994C"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Bajraliu, A., &amp; Qorraj, G. (2023). Digital Transformation’S Impact on Sustainable Hr Management: Comparative Study of Work-Life Balance and Skill Development in Public Versus Private Sectors of a Developing Country. </w:t>
      </w:r>
      <w:r w:rsidRPr="000E796E">
        <w:rPr>
          <w:i/>
          <w:iCs/>
          <w:noProof/>
          <w:kern w:val="0"/>
        </w:rPr>
        <w:t>Public Policy and Administration</w:t>
      </w:r>
      <w:r w:rsidRPr="000E796E">
        <w:rPr>
          <w:noProof/>
          <w:kern w:val="0"/>
        </w:rPr>
        <w:t xml:space="preserve">, </w:t>
      </w:r>
      <w:r w:rsidRPr="000E796E">
        <w:rPr>
          <w:i/>
          <w:iCs/>
          <w:noProof/>
          <w:kern w:val="0"/>
        </w:rPr>
        <w:t>22</w:t>
      </w:r>
      <w:r w:rsidRPr="000E796E">
        <w:rPr>
          <w:noProof/>
          <w:kern w:val="0"/>
        </w:rPr>
        <w:t>(3), 358–369. https://doi.org/10.5755/j01.ppaa.22.3.35071</w:t>
      </w:r>
    </w:p>
    <w:p w14:paraId="54EEA1D2"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Borgogno, O., &amp; Colangelo, G. (2019). Data sharing and interoperability: Fostering innovation and competition through APIs. </w:t>
      </w:r>
      <w:r w:rsidRPr="000E796E">
        <w:rPr>
          <w:i/>
          <w:iCs/>
          <w:noProof/>
          <w:kern w:val="0"/>
        </w:rPr>
        <w:t>Computer Law and Security Review</w:t>
      </w:r>
      <w:r w:rsidRPr="000E796E">
        <w:rPr>
          <w:noProof/>
          <w:kern w:val="0"/>
        </w:rPr>
        <w:t xml:space="preserve">, </w:t>
      </w:r>
      <w:r w:rsidRPr="000E796E">
        <w:rPr>
          <w:i/>
          <w:iCs/>
          <w:noProof/>
          <w:kern w:val="0"/>
        </w:rPr>
        <w:t>35</w:t>
      </w:r>
      <w:r w:rsidRPr="000E796E">
        <w:rPr>
          <w:noProof/>
          <w:kern w:val="0"/>
        </w:rPr>
        <w:t>(5), 105314. https://doi.org/10.1016/j.clsr.2019.03.008</w:t>
      </w:r>
    </w:p>
    <w:p w14:paraId="61C2CB61"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8D0DEC">
        <w:rPr>
          <w:noProof/>
          <w:kern w:val="0"/>
          <w:lang w:val="pt-BR"/>
        </w:rPr>
        <w:t xml:space="preserve">Brochado, Â. F., Rocha, E. M., &amp; Costa, D. (2024). </w:t>
      </w:r>
      <w:r w:rsidRPr="000E796E">
        <w:rPr>
          <w:noProof/>
          <w:kern w:val="0"/>
        </w:rPr>
        <w:t xml:space="preserve">A Modular IoT-Based Architecture for Logistics Service Performance Assessment and Real-Time Scheduling towards a Synchromodal Transport System. </w:t>
      </w:r>
      <w:r w:rsidRPr="000E796E">
        <w:rPr>
          <w:i/>
          <w:iCs/>
          <w:noProof/>
          <w:kern w:val="0"/>
        </w:rPr>
        <w:t>Sustainability (Switzerland)</w:t>
      </w:r>
      <w:r w:rsidRPr="000E796E">
        <w:rPr>
          <w:noProof/>
          <w:kern w:val="0"/>
        </w:rPr>
        <w:t xml:space="preserve">, </w:t>
      </w:r>
      <w:r w:rsidRPr="000E796E">
        <w:rPr>
          <w:i/>
          <w:iCs/>
          <w:noProof/>
          <w:kern w:val="0"/>
        </w:rPr>
        <w:t>16</w:t>
      </w:r>
      <w:r w:rsidRPr="000E796E">
        <w:rPr>
          <w:noProof/>
          <w:kern w:val="0"/>
        </w:rPr>
        <w:t>(2). https://doi.org/10.3390/su16020742</w:t>
      </w:r>
    </w:p>
    <w:p w14:paraId="09013D21"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Bunduchi, R., Tursunbayeva, A., &amp; Pagliari, C. (2020). Coping with institutional complexity: Intersecting logics and dissonant visions in a nation-wide healthcare IT implementation project. </w:t>
      </w:r>
      <w:r w:rsidRPr="000E796E">
        <w:rPr>
          <w:i/>
          <w:iCs/>
          <w:noProof/>
          <w:kern w:val="0"/>
        </w:rPr>
        <w:t>Information Technology and People</w:t>
      </w:r>
      <w:r w:rsidRPr="000E796E">
        <w:rPr>
          <w:noProof/>
          <w:kern w:val="0"/>
        </w:rPr>
        <w:t xml:space="preserve">, </w:t>
      </w:r>
      <w:r w:rsidRPr="000E796E">
        <w:rPr>
          <w:i/>
          <w:iCs/>
          <w:noProof/>
          <w:kern w:val="0"/>
        </w:rPr>
        <w:t>33</w:t>
      </w:r>
      <w:r w:rsidRPr="000E796E">
        <w:rPr>
          <w:noProof/>
          <w:kern w:val="0"/>
        </w:rPr>
        <w:t>(1), 311–339. https://doi.org/10.1108/ITP-08-2018-0373</w:t>
      </w:r>
    </w:p>
    <w:p w14:paraId="0F92DC41"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Correa-Ospina, M., Saxena, D., &amp; Pinzón, B. H. D. (2021). Mechanisms underpinning the usage of e-government services by businesses: A proposal based on previous empirical research. </w:t>
      </w:r>
      <w:r w:rsidRPr="000E796E">
        <w:rPr>
          <w:i/>
          <w:iCs/>
          <w:noProof/>
          <w:kern w:val="0"/>
        </w:rPr>
        <w:t>EJournal of EDemocracy and Open Government</w:t>
      </w:r>
      <w:r w:rsidRPr="000E796E">
        <w:rPr>
          <w:noProof/>
          <w:kern w:val="0"/>
        </w:rPr>
        <w:t xml:space="preserve">, </w:t>
      </w:r>
      <w:r w:rsidRPr="000E796E">
        <w:rPr>
          <w:i/>
          <w:iCs/>
          <w:noProof/>
          <w:kern w:val="0"/>
        </w:rPr>
        <w:t>13</w:t>
      </w:r>
      <w:r w:rsidRPr="000E796E">
        <w:rPr>
          <w:noProof/>
          <w:kern w:val="0"/>
        </w:rPr>
        <w:t>(2), 154–183. https://doi.org/10.29379/jedem.v13i2.685</w:t>
      </w:r>
    </w:p>
    <w:p w14:paraId="1018651C"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8D0DEC">
        <w:rPr>
          <w:noProof/>
          <w:kern w:val="0"/>
          <w:lang w:val="pt-BR"/>
        </w:rPr>
        <w:t xml:space="preserve">Daub, M., Domeyer, A., de Lamaa, A., &amp; Renz, F. (2020). </w:t>
      </w:r>
      <w:r w:rsidRPr="000E796E">
        <w:rPr>
          <w:noProof/>
          <w:kern w:val="0"/>
        </w:rPr>
        <w:t xml:space="preserve">Digital public services: How to achieve fast transformation at scale. </w:t>
      </w:r>
      <w:r w:rsidRPr="000E796E">
        <w:rPr>
          <w:i/>
          <w:iCs/>
          <w:noProof/>
          <w:kern w:val="0"/>
        </w:rPr>
        <w:t>McKinsey Insights</w:t>
      </w:r>
      <w:r w:rsidRPr="000E796E">
        <w:rPr>
          <w:noProof/>
          <w:kern w:val="0"/>
        </w:rPr>
        <w:t xml:space="preserve">, </w:t>
      </w:r>
      <w:r w:rsidRPr="000E796E">
        <w:rPr>
          <w:i/>
          <w:iCs/>
          <w:noProof/>
          <w:kern w:val="0"/>
        </w:rPr>
        <w:t>July</w:t>
      </w:r>
      <w:r w:rsidRPr="000E796E">
        <w:rPr>
          <w:noProof/>
          <w:kern w:val="0"/>
        </w:rPr>
        <w:t>, N.PAG-N.PAG.</w:t>
      </w:r>
    </w:p>
    <w:p w14:paraId="12EB9F31"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Debeljak, A., &amp; Dečman, M. (2022). Digital Transformation of Slovenian Urban Municipalities: A Quantitative Report on the Impact of Municipality Population Size on Digital Maturity. </w:t>
      </w:r>
      <w:r w:rsidRPr="000E796E">
        <w:rPr>
          <w:i/>
          <w:iCs/>
          <w:noProof/>
          <w:kern w:val="0"/>
        </w:rPr>
        <w:t>NISPAcee Journal of Public Administration and Policy</w:t>
      </w:r>
      <w:r w:rsidRPr="000E796E">
        <w:rPr>
          <w:noProof/>
          <w:kern w:val="0"/>
        </w:rPr>
        <w:t xml:space="preserve">, </w:t>
      </w:r>
      <w:r w:rsidRPr="000E796E">
        <w:rPr>
          <w:i/>
          <w:iCs/>
          <w:noProof/>
          <w:kern w:val="0"/>
        </w:rPr>
        <w:t>15</w:t>
      </w:r>
      <w:r w:rsidRPr="000E796E">
        <w:rPr>
          <w:noProof/>
          <w:kern w:val="0"/>
        </w:rPr>
        <w:t>(2), 25–51. https://doi.org/10.2478/nispa-2022-0012</w:t>
      </w:r>
    </w:p>
    <w:p w14:paraId="7446E13B"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Dečman, M., Stare, J., &amp; Klun, M. (2022). The impact of the COVID-19 crisis on the development of the information society in Slovenia. </w:t>
      </w:r>
      <w:r w:rsidRPr="000E796E">
        <w:rPr>
          <w:i/>
          <w:iCs/>
          <w:noProof/>
          <w:kern w:val="0"/>
        </w:rPr>
        <w:t>Administratie Si Management Public</w:t>
      </w:r>
      <w:r w:rsidRPr="000E796E">
        <w:rPr>
          <w:noProof/>
          <w:kern w:val="0"/>
        </w:rPr>
        <w:t xml:space="preserve">, </w:t>
      </w:r>
      <w:r w:rsidRPr="000E796E">
        <w:rPr>
          <w:i/>
          <w:iCs/>
          <w:noProof/>
          <w:kern w:val="0"/>
        </w:rPr>
        <w:t>2022</w:t>
      </w:r>
      <w:r w:rsidRPr="000E796E">
        <w:rPr>
          <w:noProof/>
          <w:kern w:val="0"/>
        </w:rPr>
        <w:t>(39), 77–96. https://doi.org/10.24818/amp/2022.39-05</w:t>
      </w:r>
    </w:p>
    <w:p w14:paraId="5E3B8ABE"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Deloitte Insights. (2021). </w:t>
      </w:r>
      <w:r w:rsidRPr="000E796E">
        <w:rPr>
          <w:i/>
          <w:iCs/>
          <w:noProof/>
          <w:kern w:val="0"/>
        </w:rPr>
        <w:t>Seven pivots for government’s digital transformation</w:t>
      </w:r>
      <w:r w:rsidRPr="000E796E">
        <w:rPr>
          <w:noProof/>
          <w:kern w:val="0"/>
        </w:rPr>
        <w:t>.</w:t>
      </w:r>
    </w:p>
    <w:p w14:paraId="2D469409"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Devlin, C., &amp; Coaffee, J. (2023). Planning and technological innovation: the governance challenges faced by English local authorities in adopting planning technologies. </w:t>
      </w:r>
      <w:r w:rsidRPr="000E796E">
        <w:rPr>
          <w:i/>
          <w:iCs/>
          <w:noProof/>
          <w:kern w:val="0"/>
        </w:rPr>
        <w:t>International Journal of Urban Sciences</w:t>
      </w:r>
      <w:r w:rsidRPr="000E796E">
        <w:rPr>
          <w:noProof/>
          <w:kern w:val="0"/>
        </w:rPr>
        <w:t xml:space="preserve">, </w:t>
      </w:r>
      <w:r w:rsidRPr="000E796E">
        <w:rPr>
          <w:i/>
          <w:iCs/>
          <w:noProof/>
          <w:kern w:val="0"/>
        </w:rPr>
        <w:t>27</w:t>
      </w:r>
      <w:r w:rsidRPr="000E796E">
        <w:rPr>
          <w:noProof/>
          <w:kern w:val="0"/>
        </w:rPr>
        <w:t>(S1), 149–163. https://doi.org/10.1080/12265934.2021.1997632</w:t>
      </w:r>
    </w:p>
    <w:p w14:paraId="07A9DE29"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Farhan HR, M., &amp; Nurmandi, A. (2022). </w:t>
      </w:r>
      <w:r w:rsidRPr="000E796E">
        <w:rPr>
          <w:i/>
          <w:iCs/>
          <w:noProof/>
          <w:kern w:val="0"/>
        </w:rPr>
        <w:t>Government Data Processing Mechanism to Support Smart City: A Bibliometric Review BT  - HCI International 2022 – Late Breaking Posters</w:t>
      </w:r>
      <w:r w:rsidRPr="000E796E">
        <w:rPr>
          <w:noProof/>
          <w:kern w:val="0"/>
        </w:rPr>
        <w:t xml:space="preserve"> (C. Stephanidis, M. Antona, S. Ntoa, &amp; G. Salvendy (eds.); pp. 498–506). Springer Nature Switzerland.</w:t>
      </w:r>
    </w:p>
    <w:p w14:paraId="1ABC89E9"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Galushi, L. T., &amp; Malatji, T. L. (2022). Digital Public Administration and Inclusive Governance at the South African Local Government, in Depth Analysis of E-Government and Service Delivery in Musina Local Municipality. </w:t>
      </w:r>
      <w:r w:rsidRPr="000E796E">
        <w:rPr>
          <w:i/>
          <w:iCs/>
          <w:noProof/>
          <w:kern w:val="0"/>
        </w:rPr>
        <w:t>Academic Journal of Interdisciplinary Studies</w:t>
      </w:r>
      <w:r w:rsidRPr="000E796E">
        <w:rPr>
          <w:noProof/>
          <w:kern w:val="0"/>
        </w:rPr>
        <w:t xml:space="preserve">, </w:t>
      </w:r>
      <w:r w:rsidRPr="000E796E">
        <w:rPr>
          <w:i/>
          <w:iCs/>
          <w:noProof/>
          <w:kern w:val="0"/>
        </w:rPr>
        <w:t>11</w:t>
      </w:r>
      <w:r w:rsidRPr="000E796E">
        <w:rPr>
          <w:noProof/>
          <w:kern w:val="0"/>
        </w:rPr>
        <w:t>(6), 116–126. https://doi.org/10.36941/ajis-2022-0154</w:t>
      </w:r>
    </w:p>
    <w:p w14:paraId="4E038044"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Gangneux, J., &amp; Joss, S. (2022). Crisis as driver of digital transformation? Scottish local governments’ response to COVID-19. </w:t>
      </w:r>
      <w:r w:rsidRPr="000E796E">
        <w:rPr>
          <w:i/>
          <w:iCs/>
          <w:noProof/>
          <w:kern w:val="0"/>
        </w:rPr>
        <w:t>Data and Policy</w:t>
      </w:r>
      <w:r w:rsidRPr="000E796E">
        <w:rPr>
          <w:noProof/>
          <w:kern w:val="0"/>
        </w:rPr>
        <w:t xml:space="preserve">, </w:t>
      </w:r>
      <w:r w:rsidRPr="000E796E">
        <w:rPr>
          <w:i/>
          <w:iCs/>
          <w:noProof/>
          <w:kern w:val="0"/>
        </w:rPr>
        <w:t>4</w:t>
      </w:r>
      <w:r w:rsidRPr="000E796E">
        <w:rPr>
          <w:noProof/>
          <w:kern w:val="0"/>
        </w:rPr>
        <w:t>(1). https://doi.org/10.1017/dap.2022.18</w:t>
      </w:r>
    </w:p>
    <w:p w14:paraId="775C9B9F"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Girard, T. (2024). National Identity and the Limits of Platform Power in the Global Economy. </w:t>
      </w:r>
      <w:r w:rsidRPr="000E796E">
        <w:rPr>
          <w:i/>
          <w:iCs/>
          <w:noProof/>
          <w:kern w:val="0"/>
        </w:rPr>
        <w:t>International Studies Quarterly</w:t>
      </w:r>
      <w:r w:rsidRPr="000E796E">
        <w:rPr>
          <w:noProof/>
          <w:kern w:val="0"/>
        </w:rPr>
        <w:t xml:space="preserve">, </w:t>
      </w:r>
      <w:r w:rsidRPr="000E796E">
        <w:rPr>
          <w:i/>
          <w:iCs/>
          <w:noProof/>
          <w:kern w:val="0"/>
        </w:rPr>
        <w:t>68</w:t>
      </w:r>
      <w:r w:rsidRPr="000E796E">
        <w:rPr>
          <w:noProof/>
          <w:kern w:val="0"/>
        </w:rPr>
        <w:t>(3). https://doi.org/10.1093/isq/sqae090</w:t>
      </w:r>
    </w:p>
    <w:p w14:paraId="36CB2AAF" w14:textId="77777777" w:rsidR="000E796E" w:rsidRPr="008D0DEC" w:rsidRDefault="000E796E" w:rsidP="000E796E">
      <w:pPr>
        <w:widowControl w:val="0"/>
        <w:autoSpaceDE w:val="0"/>
        <w:autoSpaceDN w:val="0"/>
        <w:adjustRightInd w:val="0"/>
        <w:spacing w:after="160" w:line="240" w:lineRule="auto"/>
        <w:ind w:left="480" w:hanging="480"/>
        <w:rPr>
          <w:noProof/>
          <w:kern w:val="0"/>
          <w:lang w:val="pt-BR"/>
        </w:rPr>
      </w:pPr>
      <w:r w:rsidRPr="000E796E">
        <w:rPr>
          <w:noProof/>
          <w:kern w:val="0"/>
        </w:rPr>
        <w:t xml:space="preserve">Hien, B. N., Tuyen, N. T. K., Lan, N. T., Ngan, N. T. K., &amp; Thanh, N. N. (2024). the Impact of Digital Government Initiatives on Public Value Creation: Evidence From Ho Chi Minh City - Vietnam. </w:t>
      </w:r>
      <w:r w:rsidRPr="008D0DEC">
        <w:rPr>
          <w:i/>
          <w:iCs/>
          <w:noProof/>
          <w:kern w:val="0"/>
          <w:lang w:val="pt-BR"/>
        </w:rPr>
        <w:t>Revista de Gestao Social e Ambiental</w:t>
      </w:r>
      <w:r w:rsidRPr="008D0DEC">
        <w:rPr>
          <w:noProof/>
          <w:kern w:val="0"/>
          <w:lang w:val="pt-BR"/>
        </w:rPr>
        <w:t xml:space="preserve">, </w:t>
      </w:r>
      <w:r w:rsidRPr="008D0DEC">
        <w:rPr>
          <w:i/>
          <w:iCs/>
          <w:noProof/>
          <w:kern w:val="0"/>
          <w:lang w:val="pt-BR"/>
        </w:rPr>
        <w:t>18</w:t>
      </w:r>
      <w:r w:rsidRPr="008D0DEC">
        <w:rPr>
          <w:noProof/>
          <w:kern w:val="0"/>
          <w:lang w:val="pt-BR"/>
        </w:rPr>
        <w:t>(2), 1–23. https://doi.org/10.24857/RGSA.V18N2-092</w:t>
      </w:r>
    </w:p>
    <w:p w14:paraId="2B31423C"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Hietala, H., Päivärinta, T., Annanperä, E., Taskinen, P., &amp; Liukkunen, K. (2023). Toward Collective Ambidexterity in Public Sector Digital Initiatives: A Case of the Finnish Water Sector. </w:t>
      </w:r>
      <w:r w:rsidRPr="000E796E">
        <w:rPr>
          <w:i/>
          <w:iCs/>
          <w:noProof/>
          <w:kern w:val="0"/>
        </w:rPr>
        <w:t>Digital Government: Research and Practice</w:t>
      </w:r>
      <w:r w:rsidRPr="000E796E">
        <w:rPr>
          <w:noProof/>
          <w:kern w:val="0"/>
        </w:rPr>
        <w:t xml:space="preserve">, </w:t>
      </w:r>
      <w:r w:rsidRPr="000E796E">
        <w:rPr>
          <w:i/>
          <w:iCs/>
          <w:noProof/>
          <w:kern w:val="0"/>
        </w:rPr>
        <w:t>4</w:t>
      </w:r>
      <w:r w:rsidRPr="000E796E">
        <w:rPr>
          <w:noProof/>
          <w:kern w:val="0"/>
        </w:rPr>
        <w:t>(4). https://doi.org/10.1145/3609802</w:t>
      </w:r>
    </w:p>
    <w:p w14:paraId="1BC6B64A" w14:textId="77777777" w:rsidR="000E796E" w:rsidRPr="008D0DEC" w:rsidRDefault="000E796E" w:rsidP="000E796E">
      <w:pPr>
        <w:widowControl w:val="0"/>
        <w:autoSpaceDE w:val="0"/>
        <w:autoSpaceDN w:val="0"/>
        <w:adjustRightInd w:val="0"/>
        <w:spacing w:after="160" w:line="240" w:lineRule="auto"/>
        <w:ind w:left="480" w:hanging="480"/>
        <w:rPr>
          <w:noProof/>
          <w:kern w:val="0"/>
          <w:lang w:val="pt-BR"/>
        </w:rPr>
      </w:pPr>
      <w:r w:rsidRPr="000E796E">
        <w:rPr>
          <w:noProof/>
          <w:kern w:val="0"/>
        </w:rPr>
        <w:t xml:space="preserve">Huaytan, J. V. P., Rojas, G. G. R., Ruiz-Balvin, M. C., Roldan, F. A. G., Leiva, N. A. D., Gordillo-Flores, R. E., Melly, J. L. I., &amp; Tapia-Silguera, R. D. (2024). Digital Transformation in Public Hospital Management: Improving the Patient Experience. </w:t>
      </w:r>
      <w:r w:rsidRPr="008D0DEC">
        <w:rPr>
          <w:i/>
          <w:iCs/>
          <w:noProof/>
          <w:kern w:val="0"/>
          <w:lang w:val="pt-BR"/>
        </w:rPr>
        <w:t>Revista de Gestao Social e Ambiental</w:t>
      </w:r>
      <w:r w:rsidRPr="008D0DEC">
        <w:rPr>
          <w:noProof/>
          <w:kern w:val="0"/>
          <w:lang w:val="pt-BR"/>
        </w:rPr>
        <w:t xml:space="preserve">, </w:t>
      </w:r>
      <w:r w:rsidRPr="008D0DEC">
        <w:rPr>
          <w:i/>
          <w:iCs/>
          <w:noProof/>
          <w:kern w:val="0"/>
          <w:lang w:val="pt-BR"/>
        </w:rPr>
        <w:t>18</w:t>
      </w:r>
      <w:r w:rsidRPr="008D0DEC">
        <w:rPr>
          <w:noProof/>
          <w:kern w:val="0"/>
          <w:lang w:val="pt-BR"/>
        </w:rPr>
        <w:t>(4). https://doi.org/10.24857/rgsa.v18n4-046</w:t>
      </w:r>
    </w:p>
    <w:p w14:paraId="314BFB18"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8D0DEC">
        <w:rPr>
          <w:noProof/>
          <w:kern w:val="0"/>
          <w:lang w:val="pt-BR"/>
        </w:rPr>
        <w:t xml:space="preserve">Huo, C., Ma, S., &amp; Liu, X. (2022). </w:t>
      </w:r>
      <w:r w:rsidRPr="000E796E">
        <w:rPr>
          <w:noProof/>
          <w:kern w:val="0"/>
        </w:rPr>
        <w:t xml:space="preserve">Hotness prediction of scientific topics based on a bibliographic knowledge graph. </w:t>
      </w:r>
      <w:r w:rsidRPr="000E796E">
        <w:rPr>
          <w:i/>
          <w:iCs/>
          <w:noProof/>
          <w:kern w:val="0"/>
        </w:rPr>
        <w:t>Information Processing and Management</w:t>
      </w:r>
      <w:r w:rsidRPr="000E796E">
        <w:rPr>
          <w:noProof/>
          <w:kern w:val="0"/>
        </w:rPr>
        <w:t xml:space="preserve">, </w:t>
      </w:r>
      <w:r w:rsidRPr="000E796E">
        <w:rPr>
          <w:i/>
          <w:iCs/>
          <w:noProof/>
          <w:kern w:val="0"/>
        </w:rPr>
        <w:t>59</w:t>
      </w:r>
      <w:r w:rsidRPr="000E796E">
        <w:rPr>
          <w:noProof/>
          <w:kern w:val="0"/>
        </w:rPr>
        <w:t>(4), 102980. https://doi.org/10.1016/j.ipm.2022.102980</w:t>
      </w:r>
    </w:p>
    <w:p w14:paraId="4AEC82C3" w14:textId="77777777" w:rsidR="000E796E" w:rsidRPr="008D0DEC" w:rsidRDefault="000E796E" w:rsidP="000E796E">
      <w:pPr>
        <w:widowControl w:val="0"/>
        <w:autoSpaceDE w:val="0"/>
        <w:autoSpaceDN w:val="0"/>
        <w:adjustRightInd w:val="0"/>
        <w:spacing w:after="160" w:line="240" w:lineRule="auto"/>
        <w:ind w:left="480" w:hanging="480"/>
        <w:rPr>
          <w:noProof/>
          <w:kern w:val="0"/>
          <w:lang w:val="pt-BR"/>
        </w:rPr>
      </w:pPr>
      <w:r w:rsidRPr="000E796E">
        <w:rPr>
          <w:noProof/>
          <w:kern w:val="0"/>
        </w:rPr>
        <w:t xml:space="preserve">Ibáñez-Jiménez, J. W., &amp; Palomo-Zurdo, R. (2024). Wine tokenisation: the opportunity of DLT technology for the economic and social challenges of the wine sector. </w:t>
      </w:r>
      <w:r w:rsidRPr="008D0DEC">
        <w:rPr>
          <w:i/>
          <w:iCs/>
          <w:noProof/>
          <w:kern w:val="0"/>
          <w:lang w:val="pt-BR"/>
        </w:rPr>
        <w:t>REVESCO Revista de Estudios Cooperativos</w:t>
      </w:r>
      <w:r w:rsidRPr="008D0DEC">
        <w:rPr>
          <w:noProof/>
          <w:kern w:val="0"/>
          <w:lang w:val="pt-BR"/>
        </w:rPr>
        <w:t xml:space="preserve">, </w:t>
      </w:r>
      <w:r w:rsidRPr="008D0DEC">
        <w:rPr>
          <w:i/>
          <w:iCs/>
          <w:noProof/>
          <w:kern w:val="0"/>
          <w:lang w:val="pt-BR"/>
        </w:rPr>
        <w:t>146</w:t>
      </w:r>
      <w:r w:rsidRPr="008D0DEC">
        <w:rPr>
          <w:noProof/>
          <w:kern w:val="0"/>
          <w:lang w:val="pt-BR"/>
        </w:rPr>
        <w:t>. https://doi.org/10.5209/REVE.95352</w:t>
      </w:r>
    </w:p>
    <w:p w14:paraId="6E6151C5"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8D0DEC">
        <w:rPr>
          <w:noProof/>
          <w:kern w:val="0"/>
          <w:lang w:val="pt-BR"/>
        </w:rPr>
        <w:t xml:space="preserve">Irani, Z., Abril, R. M., Weerakkody, V., Omar, A., &amp; Sivarajah, U. (2023). </w:t>
      </w:r>
      <w:r w:rsidRPr="000E796E">
        <w:rPr>
          <w:noProof/>
          <w:kern w:val="0"/>
        </w:rPr>
        <w:t xml:space="preserve">The impact of legacy systems on digital transformation in European public administration: Lesson learned from a multi case analysis. </w:t>
      </w:r>
      <w:r w:rsidRPr="000E796E">
        <w:rPr>
          <w:i/>
          <w:iCs/>
          <w:noProof/>
          <w:kern w:val="0"/>
        </w:rPr>
        <w:t>Government Information Quarterly</w:t>
      </w:r>
      <w:r w:rsidRPr="000E796E">
        <w:rPr>
          <w:noProof/>
          <w:kern w:val="0"/>
        </w:rPr>
        <w:t xml:space="preserve">, </w:t>
      </w:r>
      <w:r w:rsidRPr="000E796E">
        <w:rPr>
          <w:i/>
          <w:iCs/>
          <w:noProof/>
          <w:kern w:val="0"/>
        </w:rPr>
        <w:t>40</w:t>
      </w:r>
      <w:r w:rsidRPr="000E796E">
        <w:rPr>
          <w:noProof/>
          <w:kern w:val="0"/>
        </w:rPr>
        <w:t>(1), 101784. https://doi.org/10.1016/j.giq.2022.101784</w:t>
      </w:r>
    </w:p>
    <w:p w14:paraId="268AF817"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Iyer, D. K., &amp; Kuriakose, F. (2024). Digital Platforms as (Dis)Enablers of Urban Co‐Production: Evidence From Bengaluru, India. </w:t>
      </w:r>
      <w:r w:rsidRPr="000E796E">
        <w:rPr>
          <w:i/>
          <w:iCs/>
          <w:noProof/>
          <w:kern w:val="0"/>
        </w:rPr>
        <w:t>Urban Planning</w:t>
      </w:r>
      <w:r w:rsidRPr="000E796E">
        <w:rPr>
          <w:noProof/>
          <w:kern w:val="0"/>
        </w:rPr>
        <w:t xml:space="preserve">, </w:t>
      </w:r>
      <w:r w:rsidRPr="000E796E">
        <w:rPr>
          <w:i/>
          <w:iCs/>
          <w:noProof/>
          <w:kern w:val="0"/>
        </w:rPr>
        <w:t>9</w:t>
      </w:r>
      <w:r w:rsidRPr="000E796E">
        <w:rPr>
          <w:noProof/>
          <w:kern w:val="0"/>
        </w:rPr>
        <w:t>. https://doi.org/10.17645/up.7262</w:t>
      </w:r>
    </w:p>
    <w:p w14:paraId="3C5C5835"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Kemal, A. A., &amp; Shah, M. H. (2023). Digital innovation in social cash organizations – the effects of the institutional interactions for transforming organizational practices. </w:t>
      </w:r>
      <w:r w:rsidRPr="000E796E">
        <w:rPr>
          <w:i/>
          <w:iCs/>
          <w:noProof/>
          <w:kern w:val="0"/>
        </w:rPr>
        <w:t>Information Technology and People</w:t>
      </w:r>
      <w:r w:rsidRPr="000E796E">
        <w:rPr>
          <w:noProof/>
          <w:kern w:val="0"/>
        </w:rPr>
        <w:t xml:space="preserve">, </w:t>
      </w:r>
      <w:r w:rsidRPr="000E796E">
        <w:rPr>
          <w:i/>
          <w:iCs/>
          <w:noProof/>
          <w:kern w:val="0"/>
        </w:rPr>
        <w:t>37</w:t>
      </w:r>
      <w:r w:rsidRPr="000E796E">
        <w:rPr>
          <w:noProof/>
          <w:kern w:val="0"/>
        </w:rPr>
        <w:t>(5), 2092–2126. https://doi.org/10.1108/ITP-02-2023-0176</w:t>
      </w:r>
    </w:p>
    <w:p w14:paraId="3DB0B887"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Kristiyanto, E. N. (2016). Urgensi Keterbukaan Informasi dalam Penyelenggaraan Pelayanan Publik (Urgency of Disclosure of Informationin The Implementation of Public Service). </w:t>
      </w:r>
      <w:r w:rsidRPr="000E796E">
        <w:rPr>
          <w:i/>
          <w:iCs/>
          <w:noProof/>
          <w:kern w:val="0"/>
        </w:rPr>
        <w:t>Jurnal Penelitian Hukum De Jure</w:t>
      </w:r>
      <w:r w:rsidRPr="000E796E">
        <w:rPr>
          <w:noProof/>
          <w:kern w:val="0"/>
        </w:rPr>
        <w:t xml:space="preserve">, </w:t>
      </w:r>
      <w:r w:rsidRPr="000E796E">
        <w:rPr>
          <w:i/>
          <w:iCs/>
          <w:noProof/>
          <w:kern w:val="0"/>
        </w:rPr>
        <w:t>16</w:t>
      </w:r>
      <w:r w:rsidRPr="000E796E">
        <w:rPr>
          <w:noProof/>
          <w:kern w:val="0"/>
        </w:rPr>
        <w:t>(2), 231. https://doi.org/10.30641/dejure.2016.v16.231-244</w:t>
      </w:r>
    </w:p>
    <w:p w14:paraId="3FA3F3A0"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László, G., Deutsch, N., &amp; Berényi, L. (2024). Teachers’ Perception of Some Effects of the COVID-19 Lockdown: The Case Study of Ludovika University of Public Service. </w:t>
      </w:r>
      <w:r w:rsidRPr="000E796E">
        <w:rPr>
          <w:i/>
          <w:iCs/>
          <w:noProof/>
          <w:kern w:val="0"/>
        </w:rPr>
        <w:t>Social Sciences</w:t>
      </w:r>
      <w:r w:rsidRPr="000E796E">
        <w:rPr>
          <w:noProof/>
          <w:kern w:val="0"/>
        </w:rPr>
        <w:t xml:space="preserve">, </w:t>
      </w:r>
      <w:r w:rsidRPr="000E796E">
        <w:rPr>
          <w:i/>
          <w:iCs/>
          <w:noProof/>
          <w:kern w:val="0"/>
        </w:rPr>
        <w:t>13</w:t>
      </w:r>
      <w:r w:rsidRPr="000E796E">
        <w:rPr>
          <w:noProof/>
          <w:kern w:val="0"/>
        </w:rPr>
        <w:t>(2). https://doi.org/10.3390/socsci13020111</w:t>
      </w:r>
    </w:p>
    <w:p w14:paraId="0FC62023"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Latupeirissa, J. J. P., Dewi, N. L. Y., Prayana, I. K. R., Srikandi, M. B., Ramadiansyah, S. A., &amp; Pramana, I. B. G. A. Y. (2024). Transforming Public Service Delivery: A Comprehensive Review of Digitization Initiatives. </w:t>
      </w:r>
      <w:r w:rsidRPr="000E796E">
        <w:rPr>
          <w:i/>
          <w:iCs/>
          <w:noProof/>
          <w:kern w:val="0"/>
        </w:rPr>
        <w:t xml:space="preserve">Sustainability (Switzerland) </w:t>
      </w:r>
      <w:r w:rsidRPr="000E796E">
        <w:rPr>
          <w:noProof/>
          <w:kern w:val="0"/>
        </w:rPr>
        <w:t xml:space="preserve">, </w:t>
      </w:r>
      <w:r w:rsidRPr="000E796E">
        <w:rPr>
          <w:i/>
          <w:iCs/>
          <w:noProof/>
          <w:kern w:val="0"/>
        </w:rPr>
        <w:t>16</w:t>
      </w:r>
      <w:r w:rsidRPr="000E796E">
        <w:rPr>
          <w:noProof/>
          <w:kern w:val="0"/>
        </w:rPr>
        <w:t>(7), 2818. https://doi.org/10.3390/su16072818</w:t>
      </w:r>
    </w:p>
    <w:p w14:paraId="3ECB9E7B"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Lawelai, H. (2023). Understanding Digital Governance in Smart Cities: In-Depth Study Utilizing VOSviewer and CiteSpace. </w:t>
      </w:r>
      <w:r w:rsidRPr="000E796E">
        <w:rPr>
          <w:i/>
          <w:iCs/>
          <w:noProof/>
          <w:kern w:val="0"/>
        </w:rPr>
        <w:t>E3S Web of Conferences</w:t>
      </w:r>
      <w:r w:rsidRPr="000E796E">
        <w:rPr>
          <w:noProof/>
          <w:kern w:val="0"/>
        </w:rPr>
        <w:t xml:space="preserve">, </w:t>
      </w:r>
      <w:r w:rsidRPr="000E796E">
        <w:rPr>
          <w:i/>
          <w:iCs/>
          <w:noProof/>
          <w:kern w:val="0"/>
        </w:rPr>
        <w:t>440</w:t>
      </w:r>
      <w:r w:rsidRPr="000E796E">
        <w:rPr>
          <w:noProof/>
          <w:kern w:val="0"/>
        </w:rPr>
        <w:t>, 07003. https://doi.org/10.1051/e3sconf/202344007003</w:t>
      </w:r>
    </w:p>
    <w:p w14:paraId="248B9E44"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Lawelai, H., &amp; Nurmandi, A. (2024). Analyzing Smart Cities Governance Publications Using CiteSpace: Integration of Organizational Strategy and Human Resources for Sustainable Urban Development. In C. Stephanidis, M. Antona, S. Ntoa, &amp; G. Salvendy (Eds.), </w:t>
      </w:r>
      <w:r w:rsidRPr="000E796E">
        <w:rPr>
          <w:i/>
          <w:iCs/>
          <w:noProof/>
          <w:kern w:val="0"/>
        </w:rPr>
        <w:t>Communications in Computer and Information Science: Vol. 1957 CCIS</w:t>
      </w:r>
      <w:r w:rsidRPr="000E796E">
        <w:rPr>
          <w:noProof/>
          <w:kern w:val="0"/>
        </w:rPr>
        <w:t xml:space="preserve"> (pp. 41–48). Springer Nature Switzerland. https://doi.org/10.1007/978-3-031-49212-9_6</w:t>
      </w:r>
    </w:p>
    <w:p w14:paraId="1B43586B"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Mariani, I., &amp; Bianchi, I. (2023). Conceptualising Digital Transformation in Cities: A Multi-Dimensional Framework for the Analysis of Public Sector Innovation. </w:t>
      </w:r>
      <w:r w:rsidRPr="000E796E">
        <w:rPr>
          <w:i/>
          <w:iCs/>
          <w:noProof/>
          <w:kern w:val="0"/>
        </w:rPr>
        <w:t>Sustainability (Switzerland)</w:t>
      </w:r>
      <w:r w:rsidRPr="000E796E">
        <w:rPr>
          <w:noProof/>
          <w:kern w:val="0"/>
        </w:rPr>
        <w:t xml:space="preserve">, </w:t>
      </w:r>
      <w:r w:rsidRPr="000E796E">
        <w:rPr>
          <w:i/>
          <w:iCs/>
          <w:noProof/>
          <w:kern w:val="0"/>
        </w:rPr>
        <w:t>15</w:t>
      </w:r>
      <w:r w:rsidRPr="000E796E">
        <w:rPr>
          <w:noProof/>
          <w:kern w:val="0"/>
        </w:rPr>
        <w:t>(11). https://doi.org/10.3390/su15118741</w:t>
      </w:r>
    </w:p>
    <w:p w14:paraId="01A3BFD1"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Mergel, I., Dickinson, H., Stenvall, J., &amp; Gasco, M. (2023). Implementing AI in the public sector. </w:t>
      </w:r>
      <w:r w:rsidRPr="000E796E">
        <w:rPr>
          <w:i/>
          <w:iCs/>
          <w:noProof/>
          <w:kern w:val="0"/>
        </w:rPr>
        <w:t>Public Management Review</w:t>
      </w:r>
      <w:r w:rsidRPr="000E796E">
        <w:rPr>
          <w:noProof/>
          <w:kern w:val="0"/>
        </w:rPr>
        <w:t>, 1–14. https://doi.org/10.1080/14719037.2023.2231950</w:t>
      </w:r>
    </w:p>
    <w:p w14:paraId="02025839"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Mergel, I., Edelmann, N., &amp; Haug, N. (2019). Defining digital transformation: Results from expert interviews. </w:t>
      </w:r>
      <w:r w:rsidRPr="000E796E">
        <w:rPr>
          <w:i/>
          <w:iCs/>
          <w:noProof/>
          <w:kern w:val="0"/>
        </w:rPr>
        <w:t>Government Information Quarterly</w:t>
      </w:r>
      <w:r w:rsidRPr="000E796E">
        <w:rPr>
          <w:noProof/>
          <w:kern w:val="0"/>
        </w:rPr>
        <w:t xml:space="preserve">, </w:t>
      </w:r>
      <w:r w:rsidRPr="000E796E">
        <w:rPr>
          <w:i/>
          <w:iCs/>
          <w:noProof/>
          <w:kern w:val="0"/>
        </w:rPr>
        <w:t>36</w:t>
      </w:r>
      <w:r w:rsidRPr="000E796E">
        <w:rPr>
          <w:noProof/>
          <w:kern w:val="0"/>
        </w:rPr>
        <w:t>(4), 101385. https://doi.org/10.1016/j.giq.2019.06.002</w:t>
      </w:r>
    </w:p>
    <w:p w14:paraId="2EFF2507"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Onyango, G., &amp; Ondiek, J. O. (2023). Digitalising analogue policy targets! ‘Digital capabilities’ of older persons and policy digitalisation of social safety net programs in a developing country context. </w:t>
      </w:r>
      <w:r w:rsidRPr="000E796E">
        <w:rPr>
          <w:i/>
          <w:iCs/>
          <w:noProof/>
          <w:kern w:val="0"/>
        </w:rPr>
        <w:t>Journal of Technology in Human Services</w:t>
      </w:r>
      <w:r w:rsidRPr="000E796E">
        <w:rPr>
          <w:noProof/>
          <w:kern w:val="0"/>
        </w:rPr>
        <w:t xml:space="preserve">, </w:t>
      </w:r>
      <w:r w:rsidRPr="000E796E">
        <w:rPr>
          <w:i/>
          <w:iCs/>
          <w:noProof/>
          <w:kern w:val="0"/>
        </w:rPr>
        <w:t>41</w:t>
      </w:r>
      <w:r w:rsidRPr="000E796E">
        <w:rPr>
          <w:noProof/>
          <w:kern w:val="0"/>
        </w:rPr>
        <w:t>(4), 348–375. https://doi.org/10.1080/15228835.2023.2263494</w:t>
      </w:r>
    </w:p>
    <w:p w14:paraId="0D3C43DD"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Palos-Sánchez, P. R., Baena-Luna, P., García-Ordaz, M., &amp; Martínez-López, F. J. (2023). Digital Transformation and Local Government Response to the COVID-19 Pandemic: An Assessment of Its Impact on the Sustainable Development Goals. </w:t>
      </w:r>
      <w:r w:rsidRPr="000E796E">
        <w:rPr>
          <w:i/>
          <w:iCs/>
          <w:noProof/>
          <w:kern w:val="0"/>
        </w:rPr>
        <w:t>SAGE Open</w:t>
      </w:r>
      <w:r w:rsidRPr="000E796E">
        <w:rPr>
          <w:noProof/>
          <w:kern w:val="0"/>
        </w:rPr>
        <w:t xml:space="preserve">, </w:t>
      </w:r>
      <w:r w:rsidRPr="000E796E">
        <w:rPr>
          <w:i/>
          <w:iCs/>
          <w:noProof/>
          <w:kern w:val="0"/>
        </w:rPr>
        <w:t>13</w:t>
      </w:r>
      <w:r w:rsidRPr="000E796E">
        <w:rPr>
          <w:noProof/>
          <w:kern w:val="0"/>
        </w:rPr>
        <w:t>(2). https://doi.org/10.1177/21582440231167343</w:t>
      </w:r>
    </w:p>
    <w:p w14:paraId="5C0436F5"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Pislaru, M., Vlad, C. S., Ivascu, L., &amp; Mircea, I. I. (2024). Citizen-Centric Governance: Enhancing Citizen Engagement through Artificial Intelligence Tools. </w:t>
      </w:r>
      <w:r w:rsidRPr="000E796E">
        <w:rPr>
          <w:i/>
          <w:iCs/>
          <w:noProof/>
          <w:kern w:val="0"/>
        </w:rPr>
        <w:t xml:space="preserve">Sustainability (Switzerland) </w:t>
      </w:r>
      <w:r w:rsidRPr="000E796E">
        <w:rPr>
          <w:noProof/>
          <w:kern w:val="0"/>
        </w:rPr>
        <w:t xml:space="preserve">, </w:t>
      </w:r>
      <w:r w:rsidRPr="000E796E">
        <w:rPr>
          <w:i/>
          <w:iCs/>
          <w:noProof/>
          <w:kern w:val="0"/>
        </w:rPr>
        <w:t>16</w:t>
      </w:r>
      <w:r w:rsidRPr="000E796E">
        <w:rPr>
          <w:noProof/>
          <w:kern w:val="0"/>
        </w:rPr>
        <w:t>(7). https://doi.org/10.3390/su16072686</w:t>
      </w:r>
    </w:p>
    <w:p w14:paraId="28BD4A02"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Tangi, L., Janssen, M., Benedetti, M., &amp; Noci, G. (2021). Digital government transformation: A structural equation modelling analysis of driving and impeding factors. </w:t>
      </w:r>
      <w:r w:rsidRPr="000E796E">
        <w:rPr>
          <w:i/>
          <w:iCs/>
          <w:noProof/>
          <w:kern w:val="0"/>
        </w:rPr>
        <w:t>International Journal of Information Management</w:t>
      </w:r>
      <w:r w:rsidRPr="000E796E">
        <w:rPr>
          <w:noProof/>
          <w:kern w:val="0"/>
        </w:rPr>
        <w:t xml:space="preserve">, </w:t>
      </w:r>
      <w:r w:rsidRPr="000E796E">
        <w:rPr>
          <w:i/>
          <w:iCs/>
          <w:noProof/>
          <w:kern w:val="0"/>
        </w:rPr>
        <w:t>60</w:t>
      </w:r>
      <w:r w:rsidRPr="000E796E">
        <w:rPr>
          <w:noProof/>
          <w:kern w:val="0"/>
        </w:rPr>
        <w:t>(September 2020), 102356. https://doi.org/10.1016/j.ijinfomgt.2021.102356</w:t>
      </w:r>
    </w:p>
    <w:p w14:paraId="00CCE73A"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8D0DEC">
        <w:rPr>
          <w:noProof/>
          <w:kern w:val="0"/>
          <w:lang w:val="pt-BR"/>
        </w:rPr>
        <w:t xml:space="preserve">Vinarski-Peretz, H., &amp; Kidron, A. (2024). </w:t>
      </w:r>
      <w:r w:rsidRPr="000E796E">
        <w:rPr>
          <w:noProof/>
          <w:kern w:val="0"/>
        </w:rPr>
        <w:t xml:space="preserve">Antecedents of public managers’ collective implementation efficacy as they actualize new public services. </w:t>
      </w:r>
      <w:r w:rsidRPr="000E796E">
        <w:rPr>
          <w:i/>
          <w:iCs/>
          <w:noProof/>
          <w:kern w:val="0"/>
        </w:rPr>
        <w:t>Public Money and Management</w:t>
      </w:r>
      <w:r w:rsidRPr="000E796E">
        <w:rPr>
          <w:noProof/>
          <w:kern w:val="0"/>
        </w:rPr>
        <w:t xml:space="preserve">, </w:t>
      </w:r>
      <w:r w:rsidRPr="000E796E">
        <w:rPr>
          <w:i/>
          <w:iCs/>
          <w:noProof/>
          <w:kern w:val="0"/>
        </w:rPr>
        <w:t>44</w:t>
      </w:r>
      <w:r w:rsidRPr="000E796E">
        <w:rPr>
          <w:noProof/>
          <w:kern w:val="0"/>
        </w:rPr>
        <w:t>(5), 418–427. https://doi.org/10.1080/09540962.2023.2203869</w:t>
      </w:r>
    </w:p>
    <w:p w14:paraId="4FCF4DE6" w14:textId="77777777" w:rsidR="000E796E" w:rsidRPr="000E796E" w:rsidRDefault="000E796E" w:rsidP="000E796E">
      <w:pPr>
        <w:widowControl w:val="0"/>
        <w:autoSpaceDE w:val="0"/>
        <w:autoSpaceDN w:val="0"/>
        <w:adjustRightInd w:val="0"/>
        <w:spacing w:after="160" w:line="240" w:lineRule="auto"/>
        <w:ind w:left="480" w:hanging="480"/>
        <w:rPr>
          <w:noProof/>
          <w:kern w:val="0"/>
        </w:rPr>
      </w:pPr>
      <w:r w:rsidRPr="000E796E">
        <w:rPr>
          <w:noProof/>
          <w:kern w:val="0"/>
        </w:rPr>
        <w:t xml:space="preserve">Werner, T., &amp; Lehan, A. (2023). Enterprise Architecture Management (EAM) as a fundamental approach for the digital transformation of the German road infrastructure management. </w:t>
      </w:r>
      <w:r w:rsidRPr="000E796E">
        <w:rPr>
          <w:i/>
          <w:iCs/>
          <w:noProof/>
          <w:kern w:val="0"/>
        </w:rPr>
        <w:t>Transportation Research Procedia</w:t>
      </w:r>
      <w:r w:rsidRPr="000E796E">
        <w:rPr>
          <w:noProof/>
          <w:kern w:val="0"/>
        </w:rPr>
        <w:t xml:space="preserve">, </w:t>
      </w:r>
      <w:r w:rsidRPr="000E796E">
        <w:rPr>
          <w:i/>
          <w:iCs/>
          <w:noProof/>
          <w:kern w:val="0"/>
        </w:rPr>
        <w:t>72</w:t>
      </w:r>
      <w:r w:rsidRPr="000E796E">
        <w:rPr>
          <w:noProof/>
          <w:kern w:val="0"/>
        </w:rPr>
        <w:t>, 1098–1104. https://doi.org/10.1016/j.trpro.2023.11.564</w:t>
      </w:r>
    </w:p>
    <w:p w14:paraId="5EEC4260" w14:textId="77777777" w:rsidR="000E796E" w:rsidRPr="000E796E" w:rsidRDefault="000E796E" w:rsidP="000E796E">
      <w:pPr>
        <w:widowControl w:val="0"/>
        <w:autoSpaceDE w:val="0"/>
        <w:autoSpaceDN w:val="0"/>
        <w:adjustRightInd w:val="0"/>
        <w:spacing w:after="160" w:line="240" w:lineRule="auto"/>
        <w:ind w:left="480" w:hanging="480"/>
        <w:rPr>
          <w:noProof/>
        </w:rPr>
      </w:pPr>
      <w:r w:rsidRPr="000E796E">
        <w:rPr>
          <w:noProof/>
          <w:kern w:val="0"/>
        </w:rPr>
        <w:t xml:space="preserve">Wirtz, B. W., Weyerer, J. C., &amp; Schichtel, F. T. (2019). An integrative public IoT framework for smart government. </w:t>
      </w:r>
      <w:r w:rsidRPr="000E796E">
        <w:rPr>
          <w:i/>
          <w:iCs/>
          <w:noProof/>
          <w:kern w:val="0"/>
        </w:rPr>
        <w:t>Government Information Quarterly</w:t>
      </w:r>
      <w:r w:rsidRPr="000E796E">
        <w:rPr>
          <w:noProof/>
          <w:kern w:val="0"/>
        </w:rPr>
        <w:t xml:space="preserve">, </w:t>
      </w:r>
      <w:r w:rsidRPr="000E796E">
        <w:rPr>
          <w:i/>
          <w:iCs/>
          <w:noProof/>
          <w:kern w:val="0"/>
        </w:rPr>
        <w:t>36</w:t>
      </w:r>
      <w:r w:rsidRPr="000E796E">
        <w:rPr>
          <w:noProof/>
          <w:kern w:val="0"/>
        </w:rPr>
        <w:t>(2), 333–345. https://doi.org/10.1016/j.giq.2018.07.001</w:t>
      </w:r>
    </w:p>
    <w:p w14:paraId="6C4B7872" w14:textId="658DA9E3" w:rsidR="001813E2" w:rsidRPr="001813E2" w:rsidRDefault="001813E2" w:rsidP="001813E2">
      <w:pPr>
        <w:spacing w:after="152" w:line="259" w:lineRule="auto"/>
        <w:ind w:left="993" w:hanging="709"/>
        <w:rPr>
          <w:szCs w:val="20"/>
        </w:rPr>
      </w:pPr>
      <w:r w:rsidRPr="001813E2">
        <w:rPr>
          <w:szCs w:val="20"/>
        </w:rPr>
        <w:fldChar w:fldCharType="end"/>
      </w:r>
    </w:p>
    <w:p w14:paraId="50885BE7" w14:textId="77777777" w:rsidR="008B2319" w:rsidRPr="001813E2" w:rsidRDefault="008B2319">
      <w:pPr>
        <w:spacing w:after="0" w:line="259" w:lineRule="auto"/>
        <w:ind w:left="0" w:firstLine="0"/>
        <w:jc w:val="left"/>
        <w:rPr>
          <w:szCs w:val="20"/>
        </w:rPr>
      </w:pPr>
    </w:p>
    <w:sectPr w:rsidR="008B2319" w:rsidRPr="001813E2">
      <w:headerReference w:type="even" r:id="rId25"/>
      <w:headerReference w:type="default" r:id="rId26"/>
      <w:footerReference w:type="even" r:id="rId27"/>
      <w:footerReference w:type="default" r:id="rId28"/>
      <w:headerReference w:type="first" r:id="rId29"/>
      <w:footerReference w:type="first" r:id="rId30"/>
      <w:pgSz w:w="11904" w:h="16838"/>
      <w:pgMar w:top="709" w:right="1429" w:bottom="1455" w:left="1440" w:header="709" w:footer="7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2F591" w14:textId="77777777" w:rsidR="00B85899" w:rsidRDefault="00B85899">
      <w:pPr>
        <w:spacing w:after="0" w:line="240" w:lineRule="auto"/>
      </w:pPr>
      <w:r>
        <w:separator/>
      </w:r>
    </w:p>
  </w:endnote>
  <w:endnote w:type="continuationSeparator" w:id="0">
    <w:p w14:paraId="7D4C2672" w14:textId="77777777" w:rsidR="00B85899" w:rsidRDefault="00B85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4A85B" w14:textId="77777777" w:rsidR="008B2319" w:rsidRDefault="00000000">
    <w:pPr>
      <w:spacing w:after="0" w:line="259" w:lineRule="auto"/>
      <w:ind w:left="0" w:right="1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p w14:paraId="14BBAFAF" w14:textId="77777777" w:rsidR="008B2319" w:rsidRDefault="008B2319">
    <w:pPr>
      <w:spacing w:after="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BA2C5" w14:textId="77777777" w:rsidR="008B2319" w:rsidRDefault="00000000">
    <w:pPr>
      <w:spacing w:after="0" w:line="259" w:lineRule="auto"/>
      <w:ind w:left="0" w:right="1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p w14:paraId="47003BCE" w14:textId="77777777" w:rsidR="008B2319" w:rsidRDefault="008B2319">
    <w:pPr>
      <w:spacing w:after="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9D049" w14:textId="77777777" w:rsidR="008B2319" w:rsidRDefault="00000000">
    <w:pPr>
      <w:spacing w:after="0" w:line="259" w:lineRule="auto"/>
      <w:ind w:left="0" w:right="1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p w14:paraId="2A784130" w14:textId="77777777" w:rsidR="008B2319" w:rsidRDefault="008B2319">
    <w:pPr>
      <w:spacing w:after="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0E412" w14:textId="77777777" w:rsidR="00B85899" w:rsidRDefault="00B85899">
      <w:pPr>
        <w:spacing w:after="0" w:line="240" w:lineRule="auto"/>
      </w:pPr>
      <w:r>
        <w:separator/>
      </w:r>
    </w:p>
  </w:footnote>
  <w:footnote w:type="continuationSeparator" w:id="0">
    <w:p w14:paraId="6A0D824C" w14:textId="77777777" w:rsidR="00B85899" w:rsidRDefault="00B858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370A" w14:textId="77777777" w:rsidR="008B2319" w:rsidRDefault="00000000">
    <w:pPr>
      <w:spacing w:after="0" w:line="259" w:lineRule="auto"/>
      <w:ind w:left="0" w:firstLine="0"/>
      <w:jc w:val="left"/>
    </w:pPr>
    <w:r>
      <w:rPr>
        <w:color w:val="0070C0"/>
      </w:rPr>
      <w:t xml:space="preserve">Aristo Journal (Social, Politic, Humanities) Vol. 08, No.1 (2020): January, pp.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38E73" w14:textId="77777777" w:rsidR="008B2319" w:rsidRDefault="00000000">
    <w:pPr>
      <w:spacing w:after="0" w:line="259" w:lineRule="auto"/>
      <w:ind w:left="0" w:firstLine="0"/>
      <w:jc w:val="left"/>
    </w:pPr>
    <w:r>
      <w:rPr>
        <w:color w:val="0070C0"/>
      </w:rPr>
      <w:t xml:space="preserve">Aristo Journal (Social, Politic, Humanities) Vol. 08, No.1 (2020): January, pp.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8A408" w14:textId="77777777" w:rsidR="008B2319" w:rsidRDefault="00000000">
    <w:pPr>
      <w:spacing w:after="0" w:line="259" w:lineRule="auto"/>
      <w:ind w:left="987" w:firstLine="0"/>
      <w:jc w:val="center"/>
    </w:pPr>
    <w:r>
      <w:rPr>
        <w:color w:val="0070C0"/>
      </w:rPr>
      <w:t xml:space="preserve"> Vol. 08, No.1 (2020): January, pp.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62899"/>
    <w:multiLevelType w:val="hybridMultilevel"/>
    <w:tmpl w:val="6CA8021A"/>
    <w:lvl w:ilvl="0" w:tplc="11843CB6">
      <w:start w:val="1"/>
      <w:numFmt w:val="decimal"/>
      <w:lvlText w:val="%1."/>
      <w:lvlJc w:val="left"/>
      <w:pPr>
        <w:ind w:left="283"/>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1" w:tplc="6CB4A228">
      <w:start w:val="1"/>
      <w:numFmt w:val="lowerLetter"/>
      <w:lvlText w:val="%2"/>
      <w:lvlJc w:val="left"/>
      <w:pPr>
        <w:ind w:left="10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2" w:tplc="5EFE8F24">
      <w:start w:val="1"/>
      <w:numFmt w:val="lowerRoman"/>
      <w:lvlText w:val="%3"/>
      <w:lvlJc w:val="left"/>
      <w:pPr>
        <w:ind w:left="18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3" w:tplc="E3F0F158">
      <w:start w:val="1"/>
      <w:numFmt w:val="decimal"/>
      <w:lvlText w:val="%4"/>
      <w:lvlJc w:val="left"/>
      <w:pPr>
        <w:ind w:left="25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4" w:tplc="5342775A">
      <w:start w:val="1"/>
      <w:numFmt w:val="lowerLetter"/>
      <w:lvlText w:val="%5"/>
      <w:lvlJc w:val="left"/>
      <w:pPr>
        <w:ind w:left="324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5" w:tplc="48ECFB00">
      <w:start w:val="1"/>
      <w:numFmt w:val="lowerRoman"/>
      <w:lvlText w:val="%6"/>
      <w:lvlJc w:val="left"/>
      <w:pPr>
        <w:ind w:left="396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6" w:tplc="DC94D658">
      <w:start w:val="1"/>
      <w:numFmt w:val="decimal"/>
      <w:lvlText w:val="%7"/>
      <w:lvlJc w:val="left"/>
      <w:pPr>
        <w:ind w:left="46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7" w:tplc="75EA254A">
      <w:start w:val="1"/>
      <w:numFmt w:val="lowerLetter"/>
      <w:lvlText w:val="%8"/>
      <w:lvlJc w:val="left"/>
      <w:pPr>
        <w:ind w:left="54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8" w:tplc="E39219DA">
      <w:start w:val="1"/>
      <w:numFmt w:val="lowerRoman"/>
      <w:lvlText w:val="%9"/>
      <w:lvlJc w:val="left"/>
      <w:pPr>
        <w:ind w:left="61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abstractNum>
  <w:abstractNum w:abstractNumId="1" w15:restartNumberingAfterBreak="0">
    <w:nsid w:val="3F2770E4"/>
    <w:multiLevelType w:val="hybridMultilevel"/>
    <w:tmpl w:val="3322FE94"/>
    <w:lvl w:ilvl="0" w:tplc="2FB8EC3C">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DFCE53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85AFC9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6F4AFE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DEAC9D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368A58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CC8DBE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2EE703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8FAF01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C4A7AD2"/>
    <w:multiLevelType w:val="hybridMultilevel"/>
    <w:tmpl w:val="47E0B598"/>
    <w:lvl w:ilvl="0" w:tplc="0AE665FE">
      <w:start w:val="1"/>
      <w:numFmt w:val="bullet"/>
      <w:lvlText w:val="*"/>
      <w:lvlJc w:val="left"/>
      <w:pPr>
        <w:ind w:left="13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598268E0">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2B846A6">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55AB5B0">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EBCA940">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3A22244">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68683EA">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A6EB9D8">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034988C">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16cid:durableId="575743584">
    <w:abstractNumId w:val="2"/>
  </w:num>
  <w:num w:numId="2" w16cid:durableId="1043485238">
    <w:abstractNumId w:val="0"/>
  </w:num>
  <w:num w:numId="3" w16cid:durableId="35664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319"/>
    <w:rsid w:val="0004168D"/>
    <w:rsid w:val="00041F27"/>
    <w:rsid w:val="000E796E"/>
    <w:rsid w:val="001644D9"/>
    <w:rsid w:val="001813E2"/>
    <w:rsid w:val="00284277"/>
    <w:rsid w:val="002C7CC6"/>
    <w:rsid w:val="00385550"/>
    <w:rsid w:val="003C41C0"/>
    <w:rsid w:val="003D4580"/>
    <w:rsid w:val="00425D0D"/>
    <w:rsid w:val="00433041"/>
    <w:rsid w:val="00437877"/>
    <w:rsid w:val="004F2A0B"/>
    <w:rsid w:val="005819AB"/>
    <w:rsid w:val="00617AD3"/>
    <w:rsid w:val="0063212F"/>
    <w:rsid w:val="006777C7"/>
    <w:rsid w:val="00770D68"/>
    <w:rsid w:val="007A5910"/>
    <w:rsid w:val="008B2319"/>
    <w:rsid w:val="008D0DEC"/>
    <w:rsid w:val="0093197D"/>
    <w:rsid w:val="009364B4"/>
    <w:rsid w:val="009644A8"/>
    <w:rsid w:val="00977765"/>
    <w:rsid w:val="00A751F1"/>
    <w:rsid w:val="00AA5061"/>
    <w:rsid w:val="00B85899"/>
    <w:rsid w:val="00BF5C89"/>
    <w:rsid w:val="00CE35A4"/>
    <w:rsid w:val="00D81F5F"/>
    <w:rsid w:val="00D95C26"/>
    <w:rsid w:val="00E84653"/>
    <w:rsid w:val="00ED3ABB"/>
    <w:rsid w:val="00FD6ED5"/>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3749F"/>
  <w15:docId w15:val="{6D643B9A-58A2-450E-A974-A9F233D4C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D"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5" w:hanging="5"/>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numPr>
        <w:numId w:val="3"/>
      </w:numPr>
      <w:spacing w:after="0"/>
      <w:ind w:left="10" w:right="13"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5819AB"/>
    <w:rPr>
      <w:color w:val="0563C1" w:themeColor="hyperlink"/>
      <w:u w:val="single"/>
    </w:rPr>
  </w:style>
  <w:style w:type="character" w:styleId="UnresolvedMention">
    <w:name w:val="Unresolved Mention"/>
    <w:basedOn w:val="DefaultParagraphFont"/>
    <w:uiPriority w:val="99"/>
    <w:semiHidden/>
    <w:unhideWhenUsed/>
    <w:rsid w:val="005819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issn.pdii.lipi.go.id/issn.cgi?daftar&amp;&amp;&amp;&amp;&amp;2338-5162" TargetMode="External"/><Relationship Id="rId13" Type="http://schemas.openxmlformats.org/officeDocument/2006/relationships/chart" Target="charts/chart2.xml"/><Relationship Id="rId18" Type="http://schemas.openxmlformats.org/officeDocument/2006/relationships/image" Target="media/image4.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9.png"/><Relationship Id="rId28" Type="http://schemas.openxmlformats.org/officeDocument/2006/relationships/footer" Target="footer2.xml"/><Relationship Id="rId10" Type="http://schemas.openxmlformats.org/officeDocument/2006/relationships/hyperlink" Target="http://creativecommons.org/licenses/by-sa/4.0/" TargetMode="Externa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chart" Target="charts/chart3.xml"/><Relationship Id="rId22" Type="http://schemas.openxmlformats.org/officeDocument/2006/relationships/image" Target="media/image8.png"/><Relationship Id="rId27" Type="http://schemas.openxmlformats.org/officeDocument/2006/relationships/footer" Target="footer1.xml"/><Relationship Id="rId30"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CER\Documents\Magang%20JKSG\Data%20Scopu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CER\Documents\Magang%20JKSG\Data%20Scopu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solidFill>
                <a:schemeClr val="lt1"/>
              </a:solidFill>
              <a:ln w="9575">
                <a:solidFill>
                  <a:schemeClr val="lt1">
                    <a:lumMod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mn-cs"/>
                  </a:defRPr>
                </a:pPr>
                <a:endParaRPr lang="en-US"/>
              </a:p>
            </c:txPr>
            <c:dLblPos val="ctr"/>
            <c:showLegendKey val="0"/>
            <c:showVal val="1"/>
            <c:showCatName val="0"/>
            <c:showSerName val="0"/>
            <c:showPercent val="0"/>
            <c:showBubbleSize val="0"/>
            <c:showLeaderLines val="0"/>
            <c:extLst xmlns:mc="http://schemas.openxmlformats.org/markup-compatibility/2006" xmlns:c14="http://schemas.microsoft.com/office/drawing/2007/8/2/chart" xmlns:c15="http://schemas.microsoft.com/office/drawing/2012/chart" xmlns:c16="http://schemas.microsoft.com/office/drawing/2014/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dk1">
                          <a:lumMod val="35000"/>
                          <a:lumOff val="65000"/>
                        </a:schemeClr>
                      </a:solidFill>
                    </a:ln>
                    <a:effectLst/>
                  </c:spPr>
                </c15:leaderLines>
              </c:ext>
            </c:extLst>
          </c:dLbls>
          <c:cat>
            <c:strRef>
              <c:f>'Scopus-10-Analyze-Year'!$A$6:$A$13</c:f>
              <c:strCache>
                <c:ptCount val="8"/>
                <c:pt idx="0">
                  <c:v>2016</c:v>
                </c:pt>
                <c:pt idx="1">
                  <c:v>2017</c:v>
                </c:pt>
                <c:pt idx="2">
                  <c:v>2018</c:v>
                </c:pt>
                <c:pt idx="3">
                  <c:v>2019</c:v>
                </c:pt>
                <c:pt idx="4">
                  <c:v>2020</c:v>
                </c:pt>
                <c:pt idx="5">
                  <c:v>2021</c:v>
                </c:pt>
                <c:pt idx="6">
                  <c:v>2022</c:v>
                </c:pt>
                <c:pt idx="7">
                  <c:v>2023</c:v>
                </c:pt>
              </c:strCache>
            </c:strRef>
          </c:cat>
          <c:val>
            <c:numRef>
              <c:f>'Scopus-10-Analyze-Year'!$B$6:$B$13</c:f>
              <c:numCache>
                <c:formatCode>General</c:formatCode>
                <c:ptCount val="8"/>
                <c:pt idx="0">
                  <c:v>2</c:v>
                </c:pt>
                <c:pt idx="1">
                  <c:v>2</c:v>
                </c:pt>
                <c:pt idx="2">
                  <c:v>3</c:v>
                </c:pt>
                <c:pt idx="3">
                  <c:v>10</c:v>
                </c:pt>
                <c:pt idx="4">
                  <c:v>10</c:v>
                </c:pt>
                <c:pt idx="5">
                  <c:v>23</c:v>
                </c:pt>
                <c:pt idx="6">
                  <c:v>28</c:v>
                </c:pt>
                <c:pt idx="7">
                  <c:v>54</c:v>
                </c:pt>
              </c:numCache>
            </c:numRef>
          </c:val>
          <c:smooth val="0"/>
          <c:extLst xmlns:mc="http://schemas.openxmlformats.org/markup-compatibility/2006" xmlns:c14="http://schemas.microsoft.com/office/drawing/2007/8/2/chart" xmlns:c15="http://schemas.microsoft.com/office/drawing/2012/chart" xmlns:c16="http://schemas.microsoft.com/office/drawing/2014/chart">
            <c:ext xmlns:c16="http://schemas.microsoft.com/office/drawing/2014/chart" uri="{C3380CC4-5D6E-409C-BE32-E72D297353CC}">
              <c16:uniqueId val="{00000000-6537-4B4F-9C1D-67ABEAAB70D9}"/>
            </c:ext>
          </c:extLst>
        </c:ser>
        <c:dLbls>
          <c:dLblPos val="ctr"/>
          <c:showLegendKey val="0"/>
          <c:showVal val="1"/>
          <c:showCatName val="0"/>
          <c:showSerName val="0"/>
          <c:showPercent val="0"/>
          <c:showBubbleSize val="0"/>
        </c:dLbls>
        <c:marker val="1"/>
        <c:smooth val="0"/>
        <c:axId val="63598991"/>
        <c:axId val="63606191"/>
      </c:lineChart>
      <c:catAx>
        <c:axId val="63598991"/>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mn-cs"/>
                  </a:defRPr>
                </a:pPr>
                <a:r>
                  <a:rPr lang="en-ID"/>
                  <a:t>Year</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mn-cs"/>
              </a:defRPr>
            </a:pPr>
            <a:endParaRPr lang="en-US"/>
          </a:p>
        </c:txPr>
        <c:crossAx val="63606191"/>
        <c:crosses val="autoZero"/>
        <c:auto val="1"/>
        <c:lblAlgn val="ctr"/>
        <c:lblOffset val="100"/>
        <c:noMultiLvlLbl val="0"/>
      </c:catAx>
      <c:valAx>
        <c:axId val="63606191"/>
        <c:scaling>
          <c:orientation val="minMax"/>
        </c:scaling>
        <c:delete val="1"/>
        <c:axPos val="l"/>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mn-cs"/>
                  </a:defRPr>
                </a:pPr>
                <a:r>
                  <a:rPr lang="en-ID"/>
                  <a:t>Number of Documents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crossAx val="63598991"/>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baseline="0">
          <a:latin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xmlns:mc="http://schemas.openxmlformats.org/markup-compatibility/2006" xmlns:c14="http://schemas.microsoft.com/office/drawing/2007/8/2/chart" xmlns:c15="http://schemas.microsoft.com/office/drawing/2012/chart" xmlns:c16="http://schemas.microsoft.com/office/drawing/2014/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'Scopus-10-Analyze-Country'!$A$10:$A$19</c:f>
              <c:strCache>
                <c:ptCount val="10"/>
                <c:pt idx="0">
                  <c:v>Italy</c:v>
                </c:pt>
                <c:pt idx="1">
                  <c:v>Brazil</c:v>
                </c:pt>
                <c:pt idx="2">
                  <c:v>Finland</c:v>
                </c:pt>
                <c:pt idx="3">
                  <c:v>Portugal</c:v>
                </c:pt>
                <c:pt idx="4">
                  <c:v>Russian Federation</c:v>
                </c:pt>
                <c:pt idx="5">
                  <c:v>United States</c:v>
                </c:pt>
                <c:pt idx="6">
                  <c:v>Germany</c:v>
                </c:pt>
                <c:pt idx="7">
                  <c:v>Netherlands</c:v>
                </c:pt>
                <c:pt idx="8">
                  <c:v>Belgium</c:v>
                </c:pt>
                <c:pt idx="9">
                  <c:v>Croatia</c:v>
                </c:pt>
              </c:strCache>
            </c:strRef>
          </c:cat>
          <c:val>
            <c:numRef>
              <c:f>'Scopus-10-Analyze-Country'!$B$10:$B$19</c:f>
              <c:numCache>
                <c:formatCode>General</c:formatCode>
                <c:ptCount val="10"/>
                <c:pt idx="0">
                  <c:v>10</c:v>
                </c:pt>
                <c:pt idx="1">
                  <c:v>8</c:v>
                </c:pt>
                <c:pt idx="2">
                  <c:v>7</c:v>
                </c:pt>
                <c:pt idx="3">
                  <c:v>7</c:v>
                </c:pt>
                <c:pt idx="4">
                  <c:v>7</c:v>
                </c:pt>
                <c:pt idx="5">
                  <c:v>7</c:v>
                </c:pt>
                <c:pt idx="6">
                  <c:v>6</c:v>
                </c:pt>
                <c:pt idx="7">
                  <c:v>6</c:v>
                </c:pt>
                <c:pt idx="8">
                  <c:v>5</c:v>
                </c:pt>
                <c:pt idx="9">
                  <c:v>5</c:v>
                </c:pt>
              </c:numCache>
            </c:numRef>
          </c:val>
          <c:extLst xmlns:mc="http://schemas.openxmlformats.org/markup-compatibility/2006" xmlns:c14="http://schemas.microsoft.com/office/drawing/2007/8/2/chart" xmlns:c15="http://schemas.microsoft.com/office/drawing/2012/chart" xmlns:c16="http://schemas.microsoft.com/office/drawing/2014/chart">
            <c:ext xmlns:c16="http://schemas.microsoft.com/office/drawing/2014/chart" uri="{C3380CC4-5D6E-409C-BE32-E72D297353CC}">
              <c16:uniqueId val="{00000000-EF5C-4DBA-AFF1-0CA03A2DBA33}"/>
            </c:ext>
          </c:extLst>
        </c:ser>
        <c:dLbls>
          <c:showLegendKey val="0"/>
          <c:showVal val="1"/>
          <c:showCatName val="0"/>
          <c:showSerName val="0"/>
          <c:showPercent val="0"/>
          <c:showBubbleSize val="0"/>
        </c:dLbls>
        <c:gapWidth val="150"/>
        <c:axId val="60183663"/>
        <c:axId val="60187023"/>
      </c:barChart>
      <c:catAx>
        <c:axId val="6018366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r>
                  <a:rPr lang="en-ID"/>
                  <a:t>Country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60187023"/>
        <c:crosses val="autoZero"/>
        <c:auto val="1"/>
        <c:lblAlgn val="ctr"/>
        <c:lblOffset val="100"/>
        <c:noMultiLvlLbl val="0"/>
      </c:catAx>
      <c:valAx>
        <c:axId val="60187023"/>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r>
                  <a:rPr lang="en-ID"/>
                  <a:t>Number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crossAx val="601836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70C0"/>
            </a:solid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xmlns:mc="http://schemas.openxmlformats.org/markup-compatibility/2006" xmlns:c14="http://schemas.microsoft.com/office/drawing/2007/8/2/chart" xmlns:c15="http://schemas.microsoft.com/office/drawing/2012/chart" xmlns:c16="http://schemas.microsoft.com/office/drawing/2014/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'Scopus-10-Analyze-Source'!$A$10:$A$19</c:f>
              <c:strCache>
                <c:ptCount val="10"/>
                <c:pt idx="0">
                  <c:v>Government Information Quarterly</c:v>
                </c:pt>
                <c:pt idx="1">
                  <c:v>Digital Government Research And Practice</c:v>
                </c:pt>
                <c:pt idx="2">
                  <c:v>Ejournal Of Edemocracy And Open Government</c:v>
                </c:pt>
                <c:pt idx="3">
                  <c:v>International Journal Of Data And Network Science</c:v>
                </c:pt>
                <c:pt idx="4">
                  <c:v>International Journal Of Information Management</c:v>
                </c:pt>
                <c:pt idx="5">
                  <c:v>Public Policy And Administration</c:v>
                </c:pt>
                <c:pt idx="6">
                  <c:v>Transforming Government People Process And Policy</c:v>
                </c:pt>
                <c:pt idx="7">
                  <c:v>Administratie Si Management Public</c:v>
                </c:pt>
                <c:pt idx="8">
                  <c:v>Big Data And Society</c:v>
                </c:pt>
                <c:pt idx="9">
                  <c:v>Central European Public Administration Review</c:v>
                </c:pt>
              </c:strCache>
            </c:strRef>
          </c:cat>
          <c:val>
            <c:numRef>
              <c:f>'Scopus-10-Analyze-Source'!$B$10:$B$19</c:f>
              <c:numCache>
                <c:formatCode>General</c:formatCode>
                <c:ptCount val="10"/>
                <c:pt idx="0">
                  <c:v>8</c:v>
                </c:pt>
                <c:pt idx="1">
                  <c:v>4</c:v>
                </c:pt>
                <c:pt idx="2">
                  <c:v>3</c:v>
                </c:pt>
                <c:pt idx="3">
                  <c:v>3</c:v>
                </c:pt>
                <c:pt idx="4">
                  <c:v>3</c:v>
                </c:pt>
                <c:pt idx="5">
                  <c:v>3</c:v>
                </c:pt>
                <c:pt idx="6">
                  <c:v>3</c:v>
                </c:pt>
                <c:pt idx="7">
                  <c:v>2</c:v>
                </c:pt>
                <c:pt idx="8">
                  <c:v>2</c:v>
                </c:pt>
                <c:pt idx="9">
                  <c:v>2</c:v>
                </c:pt>
              </c:numCache>
            </c:numRef>
          </c:val>
          <c:extLst xmlns:mc="http://schemas.openxmlformats.org/markup-compatibility/2006" xmlns:c14="http://schemas.microsoft.com/office/drawing/2007/8/2/chart" xmlns:c15="http://schemas.microsoft.com/office/drawing/2012/chart" xmlns:c16="http://schemas.microsoft.com/office/drawing/2014/chart">
            <c:ext xmlns:c16="http://schemas.microsoft.com/office/drawing/2014/chart" uri="{C3380CC4-5D6E-409C-BE32-E72D297353CC}">
              <c16:uniqueId val="{00000000-1513-4B21-AD66-4419F84327C7}"/>
            </c:ext>
          </c:extLst>
        </c:ser>
        <c:dLbls>
          <c:showLegendKey val="0"/>
          <c:showVal val="1"/>
          <c:showCatName val="0"/>
          <c:showSerName val="0"/>
          <c:showPercent val="0"/>
          <c:showBubbleSize val="0"/>
        </c:dLbls>
        <c:gapWidth val="75"/>
        <c:axId val="122120879"/>
        <c:axId val="122125199"/>
      </c:barChart>
      <c:catAx>
        <c:axId val="122120879"/>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mn-cs"/>
                  </a:defRPr>
                </a:pPr>
                <a:r>
                  <a:rPr lang="en-ID"/>
                  <a:t>Source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22125199"/>
        <c:crosses val="autoZero"/>
        <c:auto val="1"/>
        <c:lblAlgn val="ctr"/>
        <c:lblOffset val="100"/>
        <c:noMultiLvlLbl val="0"/>
      </c:catAx>
      <c:valAx>
        <c:axId val="122125199"/>
        <c:scaling>
          <c:orientation val="minMax"/>
        </c:scaling>
        <c:delete val="1"/>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mn-cs"/>
                  </a:defRPr>
                </a:pPr>
                <a:r>
                  <a:rPr lang="en-ID"/>
                  <a:t>Number</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crossAx val="1221208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xmlns:mc="http://schemas.openxmlformats.org/markup-compatibility/2006" xmlns:c14="http://schemas.microsoft.com/office/drawing/2007/8/2/chart" xmlns:c15="http://schemas.microsoft.com/office/drawing/2012/chart" xmlns:c16="http://schemas.microsoft.com/office/drawing/2014/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'Scopus-10-Analyze-Author'!$A$9:$A$18</c:f>
              <c:strCache>
                <c:ptCount val="10"/>
                <c:pt idx="0">
                  <c:v>Dečman, M.</c:v>
                </c:pt>
                <c:pt idx="1">
                  <c:v>Mergel, I.</c:v>
                </c:pt>
                <c:pt idx="2">
                  <c:v>Tangi, L.</c:v>
                </c:pt>
                <c:pt idx="3">
                  <c:v>Androniceanu, A.</c:v>
                </c:pt>
                <c:pt idx="4">
                  <c:v>Brandão, J.L.A.</c:v>
                </c:pt>
                <c:pt idx="5">
                  <c:v>Dominic, P.D.D.</c:v>
                </c:pt>
                <c:pt idx="6">
                  <c:v>Jambari, D.I.</c:v>
                </c:pt>
                <c:pt idx="7">
                  <c:v>Myeong, S.</c:v>
                </c:pt>
                <c:pt idx="8">
                  <c:v>Omar, A.</c:v>
                </c:pt>
                <c:pt idx="9">
                  <c:v>Perucchi, V.</c:v>
                </c:pt>
              </c:strCache>
            </c:strRef>
          </c:cat>
          <c:val>
            <c:numRef>
              <c:f>'Scopus-10-Analyze-Author'!$B$9:$B$18</c:f>
              <c:numCache>
                <c:formatCode>General</c:formatCode>
                <c:ptCount val="10"/>
                <c:pt idx="0">
                  <c:v>3</c:v>
                </c:pt>
                <c:pt idx="1">
                  <c:v>3</c:v>
                </c:pt>
                <c:pt idx="2">
                  <c:v>3</c:v>
                </c:pt>
                <c:pt idx="3">
                  <c:v>2</c:v>
                </c:pt>
                <c:pt idx="4">
                  <c:v>2</c:v>
                </c:pt>
                <c:pt idx="5">
                  <c:v>2</c:v>
                </c:pt>
                <c:pt idx="6">
                  <c:v>2</c:v>
                </c:pt>
                <c:pt idx="7">
                  <c:v>2</c:v>
                </c:pt>
                <c:pt idx="8">
                  <c:v>2</c:v>
                </c:pt>
                <c:pt idx="9">
                  <c:v>2</c:v>
                </c:pt>
              </c:numCache>
            </c:numRef>
          </c:val>
          <c:extLst xmlns:mc="http://schemas.openxmlformats.org/markup-compatibility/2006" xmlns:c14="http://schemas.microsoft.com/office/drawing/2007/8/2/chart" xmlns:c15="http://schemas.microsoft.com/office/drawing/2012/chart" xmlns:c16="http://schemas.microsoft.com/office/drawing/2014/chart">
            <c:ext xmlns:c16="http://schemas.microsoft.com/office/drawing/2014/chart" uri="{C3380CC4-5D6E-409C-BE32-E72D297353CC}">
              <c16:uniqueId val="{00000000-12FD-4CFC-B880-59D5BFB3F57E}"/>
            </c:ext>
          </c:extLst>
        </c:ser>
        <c:dLbls>
          <c:showLegendKey val="0"/>
          <c:showVal val="1"/>
          <c:showCatName val="0"/>
          <c:showSerName val="0"/>
          <c:showPercent val="0"/>
          <c:showBubbleSize val="0"/>
        </c:dLbls>
        <c:gapWidth val="150"/>
        <c:axId val="60187983"/>
        <c:axId val="60184143"/>
      </c:barChart>
      <c:catAx>
        <c:axId val="6018798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r>
                  <a:rPr lang="en-ID"/>
                  <a:t>Author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60184143"/>
        <c:crosses val="autoZero"/>
        <c:auto val="1"/>
        <c:lblAlgn val="ctr"/>
        <c:lblOffset val="100"/>
        <c:noMultiLvlLbl val="0"/>
      </c:catAx>
      <c:valAx>
        <c:axId val="60184143"/>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r>
                  <a:rPr lang="en-ID"/>
                  <a:t>Number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title>
        <c:numFmt formatCode="General" sourceLinked="1"/>
        <c:majorTickMark val="none"/>
        <c:minorTickMark val="none"/>
        <c:tickLblPos val="nextTo"/>
        <c:crossAx val="601879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B9372-E419-427C-AB6D-7E8C6FD87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25603</Words>
  <Characters>145942</Characters>
  <Application>Microsoft Office Word</Application>
  <DocSecurity>0</DocSecurity>
  <Lines>1216</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latiphul</dc:creator>
  <cp:keywords>, docId:B70D3D8FCDC0C4E5E3DF49E4AEBC7D8E</cp:keywords>
  <cp:lastModifiedBy>7</cp:lastModifiedBy>
  <cp:revision>2</cp:revision>
  <dcterms:created xsi:type="dcterms:W3CDTF">2025-01-14T06:30:00Z</dcterms:created>
  <dcterms:modified xsi:type="dcterms:W3CDTF">2025-01-14T06:30:00Z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3a04a280-077b-3394-983f-02394dae1ae5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(deprecated)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MSIP_Label_defa4170-0d19-0005-0004-bc88714345d2_Enabled">
    <vt:lpwstr>true</vt:lpwstr>
  </property>
  <property fmtid="{D5CDD505-2E9C-101B-9397-08002B2CF9AE}" pid="26" name="MSIP_Label_defa4170-0d19-0005-0004-bc88714345d2_SetDate">
    <vt:lpwstr>2025-01-05T02:51:24Z</vt:lpwstr>
  </property>
  <property fmtid="{D5CDD505-2E9C-101B-9397-08002B2CF9AE}" pid="27" name="MSIP_Label_defa4170-0d19-0005-0004-bc88714345d2_Method">
    <vt:lpwstr>Standard</vt:lpwstr>
  </property>
  <property fmtid="{D5CDD505-2E9C-101B-9397-08002B2CF9AE}" pid="28" name="MSIP_Label_defa4170-0d19-0005-0004-bc88714345d2_Name">
    <vt:lpwstr>defa4170-0d19-0005-0004-bc88714345d2</vt:lpwstr>
  </property>
  <property fmtid="{D5CDD505-2E9C-101B-9397-08002B2CF9AE}" pid="29" name="MSIP_Label_defa4170-0d19-0005-0004-bc88714345d2_SiteId">
    <vt:lpwstr>7e3baae8-ad25-4622-9334-ba869580cec6</vt:lpwstr>
  </property>
  <property fmtid="{D5CDD505-2E9C-101B-9397-08002B2CF9AE}" pid="30" name="MSIP_Label_defa4170-0d19-0005-0004-bc88714345d2_ActionId">
    <vt:lpwstr>828f8dd6-3bdb-4185-b0a2-0ce31e3a84f2</vt:lpwstr>
  </property>
  <property fmtid="{D5CDD505-2E9C-101B-9397-08002B2CF9AE}" pid="31" name="MSIP_Label_defa4170-0d19-0005-0004-bc88714345d2_ContentBits">
    <vt:lpwstr>0</vt:lpwstr>
  </property>
</Properties>
</file>