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8D29" w14:textId="63E1BAC6" w:rsidR="00057E74" w:rsidRPr="00D62B24" w:rsidRDefault="00D62B24" w:rsidP="00D62B24">
      <w:pPr>
        <w:jc w:val="center"/>
        <w:rPr>
          <w:rFonts w:asciiTheme="majorBidi" w:hAnsiTheme="majorBidi" w:cstheme="majorBidi"/>
          <w:b/>
          <w:bCs/>
          <w:sz w:val="24"/>
          <w:szCs w:val="24"/>
        </w:rPr>
      </w:pPr>
      <w:r w:rsidRPr="00D62B24">
        <w:rPr>
          <w:rFonts w:asciiTheme="majorBidi" w:hAnsiTheme="majorBidi" w:cstheme="majorBidi"/>
          <w:b/>
          <w:bCs/>
          <w:sz w:val="24"/>
          <w:szCs w:val="24"/>
        </w:rPr>
        <w:t>KAJIAN JURNAL DALAM TINJAUAN PUSTAKA</w:t>
      </w:r>
    </w:p>
    <w:p w14:paraId="5291C37F" w14:textId="65C72242" w:rsidR="00D62B24" w:rsidRDefault="00D62B24" w:rsidP="00D62B24">
      <w:pPr>
        <w:jc w:val="center"/>
        <w:rPr>
          <w:rFonts w:asciiTheme="majorBidi" w:hAnsiTheme="majorBidi" w:cstheme="majorBidi"/>
          <w:sz w:val="24"/>
          <w:szCs w:val="24"/>
        </w:rPr>
      </w:pPr>
    </w:p>
    <w:tbl>
      <w:tblPr>
        <w:tblStyle w:val="TableGrid"/>
        <w:tblW w:w="14034" w:type="dxa"/>
        <w:tblInd w:w="108" w:type="dxa"/>
        <w:tblLook w:val="04A0" w:firstRow="1" w:lastRow="0" w:firstColumn="1" w:lastColumn="0" w:noHBand="0" w:noVBand="1"/>
      </w:tblPr>
      <w:tblGrid>
        <w:gridCol w:w="485"/>
        <w:gridCol w:w="3667"/>
        <w:gridCol w:w="1979"/>
        <w:gridCol w:w="2091"/>
        <w:gridCol w:w="5812"/>
      </w:tblGrid>
      <w:tr w:rsidR="00616B9D" w:rsidRPr="003B5A55" w14:paraId="3739519B" w14:textId="77777777" w:rsidTr="00616B9D">
        <w:trPr>
          <w:trHeight w:val="216"/>
        </w:trPr>
        <w:tc>
          <w:tcPr>
            <w:tcW w:w="485" w:type="dxa"/>
            <w:vAlign w:val="center"/>
          </w:tcPr>
          <w:p w14:paraId="0A56D0D0" w14:textId="3A578D7B"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b/>
                <w:bCs/>
                <w:lang w:val="en-ID"/>
              </w:rPr>
            </w:pPr>
            <w:r w:rsidRPr="00616B9D">
              <w:rPr>
                <w:rFonts w:asciiTheme="majorBidi" w:hAnsiTheme="majorBidi" w:cstheme="majorBidi"/>
                <w:b/>
                <w:bCs/>
                <w:lang w:val="en-ID"/>
              </w:rPr>
              <w:t>No</w:t>
            </w:r>
          </w:p>
        </w:tc>
        <w:tc>
          <w:tcPr>
            <w:tcW w:w="3667" w:type="dxa"/>
            <w:vAlign w:val="center"/>
          </w:tcPr>
          <w:p w14:paraId="3F9576E8" w14:textId="77777777" w:rsidR="003B5A55" w:rsidRPr="00616B9D" w:rsidRDefault="003B5A55" w:rsidP="003B5A55">
            <w:pPr>
              <w:pStyle w:val="ListParagraph"/>
              <w:snapToGrid w:val="0"/>
              <w:spacing w:after="0" w:line="240" w:lineRule="auto"/>
              <w:ind w:left="0"/>
              <w:contextualSpacing w:val="0"/>
              <w:jc w:val="center"/>
              <w:rPr>
                <w:rFonts w:asciiTheme="majorBidi" w:hAnsiTheme="majorBidi" w:cstheme="majorBidi"/>
                <w:b/>
                <w:bCs/>
                <w:lang w:val="en-US"/>
              </w:rPr>
            </w:pPr>
            <w:r w:rsidRPr="00616B9D">
              <w:rPr>
                <w:rFonts w:asciiTheme="majorBidi" w:hAnsiTheme="majorBidi" w:cstheme="majorBidi"/>
                <w:b/>
                <w:bCs/>
                <w:lang w:val="en-US"/>
              </w:rPr>
              <w:t>Judul</w:t>
            </w:r>
          </w:p>
        </w:tc>
        <w:tc>
          <w:tcPr>
            <w:tcW w:w="1979" w:type="dxa"/>
            <w:vAlign w:val="center"/>
          </w:tcPr>
          <w:p w14:paraId="63FF76B9" w14:textId="77777777" w:rsidR="003B5A55" w:rsidRPr="00616B9D" w:rsidRDefault="003B5A55" w:rsidP="003B5A55">
            <w:pPr>
              <w:pStyle w:val="ListParagraph"/>
              <w:snapToGrid w:val="0"/>
              <w:spacing w:after="0" w:line="240" w:lineRule="auto"/>
              <w:ind w:left="0"/>
              <w:contextualSpacing w:val="0"/>
              <w:jc w:val="center"/>
              <w:rPr>
                <w:rFonts w:asciiTheme="majorBidi" w:hAnsiTheme="majorBidi" w:cstheme="majorBidi"/>
                <w:b/>
                <w:bCs/>
              </w:rPr>
            </w:pPr>
            <w:r w:rsidRPr="00616B9D">
              <w:rPr>
                <w:rFonts w:asciiTheme="majorBidi" w:hAnsiTheme="majorBidi" w:cstheme="majorBidi"/>
                <w:b/>
                <w:bCs/>
              </w:rPr>
              <w:t>Penulis</w:t>
            </w:r>
          </w:p>
        </w:tc>
        <w:tc>
          <w:tcPr>
            <w:tcW w:w="2091" w:type="dxa"/>
            <w:vAlign w:val="center"/>
          </w:tcPr>
          <w:p w14:paraId="5A7A8C3E" w14:textId="77777777" w:rsidR="003B5A55" w:rsidRPr="00616B9D" w:rsidRDefault="003B5A55" w:rsidP="003B5A55">
            <w:pPr>
              <w:pStyle w:val="ListParagraph"/>
              <w:snapToGrid w:val="0"/>
              <w:spacing w:after="0" w:line="240" w:lineRule="auto"/>
              <w:ind w:left="0"/>
              <w:contextualSpacing w:val="0"/>
              <w:jc w:val="center"/>
              <w:rPr>
                <w:rFonts w:asciiTheme="majorBidi" w:hAnsiTheme="majorBidi" w:cstheme="majorBidi"/>
                <w:b/>
                <w:bCs/>
                <w:lang w:val="en-US"/>
              </w:rPr>
            </w:pPr>
            <w:r w:rsidRPr="00616B9D">
              <w:rPr>
                <w:rFonts w:asciiTheme="majorBidi" w:hAnsiTheme="majorBidi" w:cstheme="majorBidi"/>
                <w:b/>
                <w:bCs/>
                <w:lang w:val="en-US"/>
              </w:rPr>
              <w:t>Desain Penelitian</w:t>
            </w:r>
          </w:p>
        </w:tc>
        <w:tc>
          <w:tcPr>
            <w:tcW w:w="5812" w:type="dxa"/>
            <w:vAlign w:val="center"/>
          </w:tcPr>
          <w:p w14:paraId="2A631C16" w14:textId="77777777" w:rsidR="003B5A55" w:rsidRPr="00616B9D" w:rsidRDefault="003B5A55" w:rsidP="003B5A55">
            <w:pPr>
              <w:pStyle w:val="ListParagraph"/>
              <w:snapToGrid w:val="0"/>
              <w:spacing w:after="0" w:line="240" w:lineRule="auto"/>
              <w:ind w:left="0"/>
              <w:contextualSpacing w:val="0"/>
              <w:jc w:val="center"/>
              <w:rPr>
                <w:rFonts w:asciiTheme="majorBidi" w:hAnsiTheme="majorBidi" w:cstheme="majorBidi"/>
                <w:b/>
                <w:bCs/>
              </w:rPr>
            </w:pPr>
            <w:r w:rsidRPr="00616B9D">
              <w:rPr>
                <w:rFonts w:asciiTheme="majorBidi" w:hAnsiTheme="majorBidi" w:cstheme="majorBidi"/>
                <w:b/>
                <w:bCs/>
              </w:rPr>
              <w:t>Hasil</w:t>
            </w:r>
          </w:p>
        </w:tc>
      </w:tr>
      <w:tr w:rsidR="00F4120C" w:rsidRPr="003B5A55" w14:paraId="20923FA7" w14:textId="77777777" w:rsidTr="00616B9D">
        <w:trPr>
          <w:trHeight w:val="286"/>
        </w:trPr>
        <w:tc>
          <w:tcPr>
            <w:tcW w:w="485" w:type="dxa"/>
          </w:tcPr>
          <w:p w14:paraId="626AD443" w14:textId="4BDB7323" w:rsidR="00F4120C"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1</w:t>
            </w:r>
          </w:p>
        </w:tc>
        <w:tc>
          <w:tcPr>
            <w:tcW w:w="3667" w:type="dxa"/>
          </w:tcPr>
          <w:p w14:paraId="375E0B2C" w14:textId="452F2E79" w:rsidR="00F4120C" w:rsidRPr="00616B9D" w:rsidRDefault="00F4120C" w:rsidP="003B5A55">
            <w:pPr>
              <w:pStyle w:val="ListParagraph"/>
              <w:snapToGrid w:val="0"/>
              <w:spacing w:after="0" w:line="240" w:lineRule="auto"/>
              <w:ind w:left="0"/>
              <w:contextualSpacing w:val="0"/>
              <w:jc w:val="both"/>
              <w:rPr>
                <w:rFonts w:asciiTheme="majorBidi" w:hAnsiTheme="majorBidi" w:cstheme="majorBidi"/>
              </w:rPr>
            </w:pPr>
            <w:r w:rsidRPr="00616B9D">
              <w:rPr>
                <w:rFonts w:asciiTheme="majorBidi" w:hAnsiTheme="majorBidi" w:cstheme="majorBidi"/>
              </w:rPr>
              <w:t>Mengurai Hadis Tahnik dan Gerakan Anti Vaksin</w:t>
            </w:r>
          </w:p>
        </w:tc>
        <w:tc>
          <w:tcPr>
            <w:tcW w:w="1979" w:type="dxa"/>
          </w:tcPr>
          <w:p w14:paraId="2DDF61FD" w14:textId="38A23A4B" w:rsidR="00F4120C" w:rsidRPr="00616B9D" w:rsidRDefault="00F4120C" w:rsidP="003B5A55">
            <w:pPr>
              <w:pStyle w:val="ListParagraph"/>
              <w:snapToGrid w:val="0"/>
              <w:spacing w:after="0" w:line="240" w:lineRule="auto"/>
              <w:ind w:left="0"/>
              <w:contextualSpacing w:val="0"/>
              <w:jc w:val="both"/>
              <w:rPr>
                <w:rFonts w:asciiTheme="majorBidi" w:hAnsiTheme="majorBidi" w:cstheme="majorBidi"/>
                <w:lang w:val="en-ID"/>
              </w:rPr>
            </w:pPr>
            <w:r w:rsidRPr="00616B9D">
              <w:rPr>
                <w:rFonts w:asciiTheme="majorBidi" w:hAnsiTheme="majorBidi" w:cstheme="majorBidi"/>
                <w:lang w:val="en-ID"/>
              </w:rPr>
              <w:t>Anif Yuni Muallifah</w:t>
            </w:r>
            <w:r w:rsidRPr="00616B9D">
              <w:rPr>
                <w:rFonts w:asciiTheme="majorBidi" w:hAnsiTheme="majorBidi" w:cstheme="majorBidi"/>
                <w:lang w:val="en-ID"/>
              </w:rPr>
              <w:t xml:space="preserve"> (2017)</w:t>
            </w:r>
          </w:p>
        </w:tc>
        <w:tc>
          <w:tcPr>
            <w:tcW w:w="2091" w:type="dxa"/>
          </w:tcPr>
          <w:p w14:paraId="6DBEF9EE" w14:textId="309A29CD" w:rsidR="00F4120C" w:rsidRPr="00616B9D" w:rsidRDefault="00F4120C" w:rsidP="003B5A55">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52870331" w14:textId="6A760CAE" w:rsidR="00F4120C" w:rsidRPr="00616B9D" w:rsidRDefault="00F4120C" w:rsidP="003B5A55">
            <w:pPr>
              <w:snapToGrid w:val="0"/>
              <w:jc w:val="both"/>
              <w:rPr>
                <w:rFonts w:asciiTheme="majorBidi" w:hAnsiTheme="majorBidi" w:cstheme="majorBidi"/>
                <w:lang w:val="en-ID"/>
              </w:rPr>
            </w:pPr>
            <w:r w:rsidRPr="00616B9D">
              <w:rPr>
                <w:rFonts w:asciiTheme="majorBidi" w:hAnsiTheme="majorBidi" w:cstheme="majorBidi"/>
                <w:lang w:val="en-ID"/>
              </w:rPr>
              <w:t>Hadis tahnik di gunakan sebagai salah satu alasan utama bahwa Islam sudah mengajarkan metode imunisasi paling unggul karena berdasarkan petunjuk nabi yang berasal dari wahyu Tuhan, sehingga</w:t>
            </w:r>
            <w:r w:rsidRPr="00616B9D">
              <w:rPr>
                <w:rFonts w:asciiTheme="majorBidi" w:hAnsiTheme="majorBidi" w:cstheme="majorBidi"/>
                <w:lang w:val="en-ID"/>
              </w:rPr>
              <w:t xml:space="preserve"> </w:t>
            </w:r>
            <w:r w:rsidRPr="00616B9D">
              <w:rPr>
                <w:rFonts w:asciiTheme="majorBidi" w:hAnsiTheme="majorBidi" w:cstheme="majorBidi"/>
                <w:lang w:val="en-ID"/>
              </w:rPr>
              <w:t>program imunisasi yang dilakukan pemerintah di anggap sudah tidak diperlukan</w:t>
            </w:r>
            <w:r w:rsidRPr="00616B9D">
              <w:rPr>
                <w:rFonts w:asciiTheme="majorBidi" w:hAnsiTheme="majorBidi" w:cstheme="majorBidi"/>
                <w:lang w:val="en-ID"/>
              </w:rPr>
              <w:t>.</w:t>
            </w:r>
          </w:p>
        </w:tc>
      </w:tr>
      <w:tr w:rsidR="00616B9D" w:rsidRPr="003B5A55" w14:paraId="5F9A3F79" w14:textId="77777777" w:rsidTr="00616B9D">
        <w:trPr>
          <w:trHeight w:val="286"/>
        </w:trPr>
        <w:tc>
          <w:tcPr>
            <w:tcW w:w="485" w:type="dxa"/>
          </w:tcPr>
          <w:p w14:paraId="2CFC8A71" w14:textId="3CDCDC2F"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2</w:t>
            </w:r>
          </w:p>
        </w:tc>
        <w:tc>
          <w:tcPr>
            <w:tcW w:w="3667" w:type="dxa"/>
          </w:tcPr>
          <w:p w14:paraId="6F57D070" w14:textId="46F2C4A5" w:rsidR="003B5A55" w:rsidRPr="00616B9D" w:rsidRDefault="00DD470B" w:rsidP="003B5A55">
            <w:pPr>
              <w:pStyle w:val="ListParagraph"/>
              <w:snapToGrid w:val="0"/>
              <w:spacing w:after="0" w:line="240" w:lineRule="auto"/>
              <w:ind w:left="0"/>
              <w:contextualSpacing w:val="0"/>
              <w:jc w:val="both"/>
              <w:rPr>
                <w:rFonts w:asciiTheme="majorBidi" w:hAnsiTheme="majorBidi" w:cstheme="majorBidi"/>
              </w:rPr>
            </w:pPr>
            <w:r w:rsidRPr="00616B9D">
              <w:rPr>
                <w:rFonts w:asciiTheme="majorBidi" w:hAnsiTheme="majorBidi" w:cstheme="majorBidi"/>
              </w:rPr>
              <w:t>Manajemen krisis public relations dalam menangani penolakan imunisasi measles rubella</w:t>
            </w:r>
          </w:p>
        </w:tc>
        <w:tc>
          <w:tcPr>
            <w:tcW w:w="1979" w:type="dxa"/>
          </w:tcPr>
          <w:p w14:paraId="16E44C28" w14:textId="2B17AED6" w:rsidR="003B5A55" w:rsidRPr="00616B9D" w:rsidRDefault="00DD470B" w:rsidP="003B5A55">
            <w:pPr>
              <w:pStyle w:val="ListParagraph"/>
              <w:snapToGrid w:val="0"/>
              <w:spacing w:after="0" w:line="240" w:lineRule="auto"/>
              <w:ind w:left="0"/>
              <w:contextualSpacing w:val="0"/>
              <w:jc w:val="both"/>
              <w:rPr>
                <w:rFonts w:asciiTheme="majorBidi" w:hAnsiTheme="majorBidi" w:cstheme="majorBidi"/>
                <w:lang w:val="en-ID"/>
              </w:rPr>
            </w:pPr>
            <w:r w:rsidRPr="00616B9D">
              <w:rPr>
                <w:rFonts w:asciiTheme="majorBidi" w:hAnsiTheme="majorBidi" w:cstheme="majorBidi"/>
                <w:lang w:val="en-ID"/>
              </w:rPr>
              <w:t xml:space="preserve">Wulan Yulianti </w:t>
            </w:r>
            <w:r w:rsidRPr="00616B9D">
              <w:rPr>
                <w:rFonts w:asciiTheme="majorBidi" w:hAnsiTheme="majorBidi" w:cstheme="majorBidi"/>
                <w:lang w:val="en-ID"/>
              </w:rPr>
              <w:t>dan</w:t>
            </w:r>
            <w:r w:rsidRPr="00616B9D">
              <w:rPr>
                <w:rFonts w:asciiTheme="majorBidi" w:hAnsiTheme="majorBidi" w:cstheme="majorBidi"/>
                <w:lang w:val="en-ID"/>
              </w:rPr>
              <w:t xml:space="preserve"> Rino Febrianno Boer</w:t>
            </w:r>
            <w:r w:rsidR="0099075E" w:rsidRPr="00616B9D">
              <w:rPr>
                <w:rFonts w:asciiTheme="majorBidi" w:hAnsiTheme="majorBidi" w:cstheme="majorBidi"/>
                <w:lang w:val="en-ID"/>
              </w:rPr>
              <w:t xml:space="preserve"> (2020)</w:t>
            </w:r>
          </w:p>
        </w:tc>
        <w:tc>
          <w:tcPr>
            <w:tcW w:w="2091" w:type="dxa"/>
          </w:tcPr>
          <w:p w14:paraId="4F4A4A8F" w14:textId="73088F62" w:rsidR="003B5A55" w:rsidRPr="00616B9D" w:rsidRDefault="00577F87" w:rsidP="003B5A55">
            <w:pPr>
              <w:snapToGrid w:val="0"/>
              <w:jc w:val="both"/>
              <w:rPr>
                <w:rFonts w:asciiTheme="majorBidi" w:hAnsiTheme="majorBidi" w:cstheme="majorBidi"/>
                <w:lang w:val="en-ID"/>
              </w:rPr>
            </w:pPr>
            <w:r w:rsidRPr="00616B9D">
              <w:rPr>
                <w:rFonts w:asciiTheme="majorBidi" w:hAnsiTheme="majorBidi" w:cstheme="majorBidi"/>
                <w:lang w:val="en-ID"/>
              </w:rPr>
              <w:t>Kualitatif dengan wawancara mendalam dan pengumpulan dokumen</w:t>
            </w:r>
          </w:p>
        </w:tc>
        <w:tc>
          <w:tcPr>
            <w:tcW w:w="5812" w:type="dxa"/>
          </w:tcPr>
          <w:p w14:paraId="701B3A58" w14:textId="0DEF440C" w:rsidR="003B5A55" w:rsidRPr="00616B9D" w:rsidRDefault="00577F87" w:rsidP="003B5A55">
            <w:pPr>
              <w:snapToGrid w:val="0"/>
              <w:jc w:val="both"/>
              <w:rPr>
                <w:rFonts w:asciiTheme="majorBidi" w:hAnsiTheme="majorBidi" w:cstheme="majorBidi"/>
                <w:lang w:val="en-ID"/>
              </w:rPr>
            </w:pPr>
            <w:r w:rsidRPr="00616B9D">
              <w:rPr>
                <w:rFonts w:asciiTheme="majorBidi" w:hAnsiTheme="majorBidi" w:cstheme="majorBidi"/>
                <w:lang w:val="en-ID"/>
              </w:rPr>
              <w:t>M</w:t>
            </w:r>
            <w:r w:rsidRPr="00616B9D">
              <w:rPr>
                <w:rFonts w:asciiTheme="majorBidi" w:hAnsiTheme="majorBidi" w:cstheme="majorBidi"/>
              </w:rPr>
              <w:t>anajemen krisis yang dilakukan oleh public relations Kementerian Kesehatan pada tahap pre-krisis</w:t>
            </w:r>
            <w:r w:rsidRPr="00616B9D">
              <w:rPr>
                <w:rFonts w:asciiTheme="majorBidi" w:hAnsiTheme="majorBidi" w:cstheme="majorBidi"/>
                <w:lang w:val="en-ID"/>
              </w:rPr>
              <w:t xml:space="preserve"> khususnya pada kegiatan monitoring media terkait penolakan vaksin.</w:t>
            </w:r>
          </w:p>
        </w:tc>
      </w:tr>
      <w:tr w:rsidR="00616B9D" w:rsidRPr="003B5A55" w14:paraId="4570F42F" w14:textId="77777777" w:rsidTr="00616B9D">
        <w:trPr>
          <w:trHeight w:val="286"/>
        </w:trPr>
        <w:tc>
          <w:tcPr>
            <w:tcW w:w="485" w:type="dxa"/>
          </w:tcPr>
          <w:p w14:paraId="3B81E863" w14:textId="7FF7C213"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3</w:t>
            </w:r>
          </w:p>
        </w:tc>
        <w:tc>
          <w:tcPr>
            <w:tcW w:w="3667" w:type="dxa"/>
          </w:tcPr>
          <w:p w14:paraId="01BCF93B" w14:textId="5E4BCD69" w:rsidR="003B5A55" w:rsidRPr="00616B9D" w:rsidRDefault="00630F98" w:rsidP="003B5A55">
            <w:pPr>
              <w:pStyle w:val="ListParagraph"/>
              <w:snapToGrid w:val="0"/>
              <w:spacing w:after="0" w:line="240" w:lineRule="auto"/>
              <w:ind w:left="0"/>
              <w:contextualSpacing w:val="0"/>
              <w:jc w:val="both"/>
              <w:rPr>
                <w:rFonts w:asciiTheme="majorBidi" w:hAnsiTheme="majorBidi" w:cstheme="majorBidi"/>
              </w:rPr>
            </w:pPr>
            <w:r w:rsidRPr="00616B9D">
              <w:rPr>
                <w:rFonts w:asciiTheme="majorBidi" w:hAnsiTheme="majorBidi" w:cstheme="majorBidi"/>
              </w:rPr>
              <w:t>Efek Bumerang Negatif Pesan Persuasif Kampanye Vaksin ‘’Measles-Rubella’’ Oleh Kementerian Kesehatan Republik Indonesia</w:t>
            </w:r>
          </w:p>
        </w:tc>
        <w:tc>
          <w:tcPr>
            <w:tcW w:w="1979" w:type="dxa"/>
          </w:tcPr>
          <w:p w14:paraId="49B2090D" w14:textId="6FB51DA6" w:rsidR="003B5A55" w:rsidRPr="00616B9D" w:rsidRDefault="00630F98" w:rsidP="003B5A55">
            <w:pPr>
              <w:pStyle w:val="ListParagraph"/>
              <w:snapToGrid w:val="0"/>
              <w:spacing w:after="0" w:line="240" w:lineRule="auto"/>
              <w:ind w:left="0"/>
              <w:contextualSpacing w:val="0"/>
              <w:jc w:val="both"/>
              <w:rPr>
                <w:rFonts w:asciiTheme="majorBidi" w:hAnsiTheme="majorBidi" w:cstheme="majorBidi"/>
                <w:lang w:val="en-ID"/>
              </w:rPr>
            </w:pPr>
            <w:r w:rsidRPr="00616B9D">
              <w:rPr>
                <w:rFonts w:asciiTheme="majorBidi" w:hAnsiTheme="majorBidi" w:cstheme="majorBidi"/>
              </w:rPr>
              <w:t>Andhika Kurniawan Pontoh</w:t>
            </w:r>
            <w:r w:rsidR="00946674" w:rsidRPr="00616B9D">
              <w:rPr>
                <w:rFonts w:asciiTheme="majorBidi" w:hAnsiTheme="majorBidi" w:cstheme="majorBidi"/>
                <w:lang w:val="en-ID"/>
              </w:rPr>
              <w:t xml:space="preserve"> dkk </w:t>
            </w:r>
            <w:r w:rsidR="0099075E" w:rsidRPr="00616B9D">
              <w:rPr>
                <w:rFonts w:asciiTheme="majorBidi" w:hAnsiTheme="majorBidi" w:cstheme="majorBidi"/>
                <w:lang w:val="en-ID"/>
              </w:rPr>
              <w:t>(2020)</w:t>
            </w:r>
          </w:p>
        </w:tc>
        <w:tc>
          <w:tcPr>
            <w:tcW w:w="2091" w:type="dxa"/>
          </w:tcPr>
          <w:p w14:paraId="4E120F8A" w14:textId="1FFCFD7D" w:rsidR="003B5A55" w:rsidRPr="00616B9D" w:rsidRDefault="00630F98" w:rsidP="003B5A55">
            <w:pPr>
              <w:snapToGrid w:val="0"/>
              <w:jc w:val="both"/>
              <w:rPr>
                <w:rFonts w:asciiTheme="majorBidi" w:hAnsiTheme="majorBidi" w:cstheme="majorBidi"/>
                <w:lang w:val="en-ID"/>
              </w:rPr>
            </w:pPr>
            <w:r w:rsidRPr="00616B9D">
              <w:rPr>
                <w:rFonts w:asciiTheme="majorBidi" w:hAnsiTheme="majorBidi" w:cstheme="majorBidi"/>
                <w:lang w:val="en-ID"/>
              </w:rPr>
              <w:t>Kuantitatifanalisis isi</w:t>
            </w:r>
          </w:p>
        </w:tc>
        <w:tc>
          <w:tcPr>
            <w:tcW w:w="5812" w:type="dxa"/>
          </w:tcPr>
          <w:p w14:paraId="25EB0D7B" w14:textId="619A4875" w:rsidR="003B5A55" w:rsidRPr="00616B9D" w:rsidRDefault="00630F98" w:rsidP="00630F98">
            <w:pPr>
              <w:snapToGrid w:val="0"/>
              <w:jc w:val="both"/>
              <w:rPr>
                <w:rFonts w:asciiTheme="majorBidi" w:hAnsiTheme="majorBidi" w:cstheme="majorBidi"/>
              </w:rPr>
            </w:pPr>
            <w:r w:rsidRPr="00616B9D">
              <w:rPr>
                <w:rFonts w:asciiTheme="majorBidi" w:hAnsiTheme="majorBidi" w:cstheme="majorBidi"/>
                <w:lang w:val="en-ID"/>
              </w:rPr>
              <w:t>E</w:t>
            </w:r>
            <w:r w:rsidRPr="00616B9D">
              <w:rPr>
                <w:rFonts w:asciiTheme="majorBidi" w:hAnsiTheme="majorBidi" w:cstheme="majorBidi"/>
              </w:rPr>
              <w:t>fek bumerang negatif terhadap</w:t>
            </w:r>
            <w:r w:rsidRPr="00616B9D">
              <w:rPr>
                <w:rFonts w:asciiTheme="majorBidi" w:hAnsiTheme="majorBidi" w:cstheme="majorBidi"/>
                <w:lang w:val="en-ID"/>
              </w:rPr>
              <w:t xml:space="preserve"> </w:t>
            </w:r>
            <w:r w:rsidRPr="00616B9D">
              <w:rPr>
                <w:rFonts w:asciiTheme="majorBidi" w:hAnsiTheme="majorBidi" w:cstheme="majorBidi"/>
              </w:rPr>
              <w:t>kampanye Vaksin MR yang dilaksanakan oleh Kementerian Kesehatan RI sebagian besar terjadi akibat adanya ego involvement tokoh kunci atau opinion leader yang berpengaruh terhadap persepsi dan prilaku khalayak yang menerima pesan</w:t>
            </w:r>
          </w:p>
        </w:tc>
      </w:tr>
      <w:tr w:rsidR="00616B9D" w:rsidRPr="003B5A55" w14:paraId="434972D7" w14:textId="77777777" w:rsidTr="00616B9D">
        <w:trPr>
          <w:trHeight w:val="286"/>
        </w:trPr>
        <w:tc>
          <w:tcPr>
            <w:tcW w:w="485" w:type="dxa"/>
          </w:tcPr>
          <w:p w14:paraId="19549A60" w14:textId="5EDD4C49"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4</w:t>
            </w:r>
          </w:p>
        </w:tc>
        <w:tc>
          <w:tcPr>
            <w:tcW w:w="3667" w:type="dxa"/>
          </w:tcPr>
          <w:p w14:paraId="5DB30C8C" w14:textId="73224D20" w:rsidR="003B5A55" w:rsidRPr="00616B9D" w:rsidRDefault="006659DD" w:rsidP="003B5A55">
            <w:pPr>
              <w:pStyle w:val="ListParagraph"/>
              <w:snapToGrid w:val="0"/>
              <w:spacing w:after="0" w:line="240" w:lineRule="auto"/>
              <w:ind w:left="0"/>
              <w:contextualSpacing w:val="0"/>
              <w:jc w:val="both"/>
              <w:rPr>
                <w:rFonts w:asciiTheme="majorBidi" w:hAnsiTheme="majorBidi" w:cstheme="majorBidi"/>
                <w:lang w:val="en-ID"/>
              </w:rPr>
            </w:pPr>
            <w:r w:rsidRPr="00616B9D">
              <w:rPr>
                <w:rFonts w:asciiTheme="majorBidi" w:hAnsiTheme="majorBidi" w:cstheme="majorBidi"/>
                <w:lang w:val="en-ID"/>
              </w:rPr>
              <w:t>Analisa Minat Orang Tua Dalam Pemberian Vaksin MR Setelah Putusan MUI</w:t>
            </w:r>
            <w:r w:rsidRPr="00616B9D">
              <w:rPr>
                <w:rFonts w:asciiTheme="majorBidi" w:hAnsiTheme="majorBidi" w:cstheme="majorBidi"/>
                <w:lang w:val="en-ID"/>
              </w:rPr>
              <w:t xml:space="preserve"> </w:t>
            </w:r>
            <w:r w:rsidRPr="00616B9D">
              <w:rPr>
                <w:rFonts w:asciiTheme="majorBidi" w:hAnsiTheme="majorBidi" w:cstheme="majorBidi"/>
                <w:lang w:val="en-ID"/>
              </w:rPr>
              <w:t>(Studi di Kecamatan Metro Pusat Tahun 2018)</w:t>
            </w:r>
          </w:p>
        </w:tc>
        <w:tc>
          <w:tcPr>
            <w:tcW w:w="1979" w:type="dxa"/>
          </w:tcPr>
          <w:p w14:paraId="38F52F20" w14:textId="43487E5B" w:rsidR="003B5A55" w:rsidRPr="00616B9D" w:rsidRDefault="006659DD" w:rsidP="003B5A55">
            <w:pPr>
              <w:pStyle w:val="ListParagraph"/>
              <w:snapToGrid w:val="0"/>
              <w:spacing w:after="0" w:line="240" w:lineRule="auto"/>
              <w:ind w:left="0"/>
              <w:contextualSpacing w:val="0"/>
              <w:jc w:val="both"/>
              <w:rPr>
                <w:rFonts w:asciiTheme="majorBidi" w:hAnsiTheme="majorBidi" w:cstheme="majorBidi"/>
                <w:lang w:val="en-ID"/>
              </w:rPr>
            </w:pPr>
            <w:r w:rsidRPr="00616B9D">
              <w:rPr>
                <w:rFonts w:asciiTheme="majorBidi" w:hAnsiTheme="majorBidi" w:cstheme="majorBidi"/>
              </w:rPr>
              <w:t>Ita Dwilestari dan Rakhmat</w:t>
            </w:r>
            <w:r w:rsidR="0099075E" w:rsidRPr="00616B9D">
              <w:rPr>
                <w:rFonts w:asciiTheme="majorBidi" w:hAnsiTheme="majorBidi" w:cstheme="majorBidi"/>
                <w:lang w:val="en-ID"/>
              </w:rPr>
              <w:t xml:space="preserve"> (2019)</w:t>
            </w:r>
          </w:p>
        </w:tc>
        <w:tc>
          <w:tcPr>
            <w:tcW w:w="2091" w:type="dxa"/>
          </w:tcPr>
          <w:p w14:paraId="311DB76B" w14:textId="6A3F9050" w:rsidR="003B5A55" w:rsidRPr="00616B9D" w:rsidRDefault="006659DD" w:rsidP="003B5A55">
            <w:pPr>
              <w:snapToGrid w:val="0"/>
              <w:jc w:val="both"/>
              <w:rPr>
                <w:rFonts w:asciiTheme="majorBidi" w:hAnsiTheme="majorBidi" w:cstheme="majorBidi"/>
                <w:lang w:val="en-ID"/>
              </w:rPr>
            </w:pPr>
            <w:r w:rsidRPr="00616B9D">
              <w:rPr>
                <w:rFonts w:asciiTheme="majorBidi" w:hAnsiTheme="majorBidi" w:cstheme="majorBidi"/>
                <w:lang w:val="en-ID"/>
              </w:rPr>
              <w:t>Deskriptif kualitatif</w:t>
            </w:r>
          </w:p>
        </w:tc>
        <w:tc>
          <w:tcPr>
            <w:tcW w:w="5812" w:type="dxa"/>
          </w:tcPr>
          <w:p w14:paraId="5C1240B6" w14:textId="62EDBD44" w:rsidR="00616B9D" w:rsidRPr="00616B9D" w:rsidRDefault="006659DD" w:rsidP="00616B9D">
            <w:pPr>
              <w:snapToGrid w:val="0"/>
              <w:jc w:val="both"/>
              <w:rPr>
                <w:rFonts w:asciiTheme="majorBidi" w:hAnsiTheme="majorBidi" w:cstheme="majorBidi"/>
                <w:lang w:val="en-ID"/>
              </w:rPr>
            </w:pPr>
            <w:r w:rsidRPr="00616B9D">
              <w:rPr>
                <w:rFonts w:asciiTheme="majorBidi" w:hAnsiTheme="majorBidi" w:cstheme="majorBidi"/>
                <w:lang w:val="en-ID"/>
              </w:rPr>
              <w:t>P</w:t>
            </w:r>
            <w:r w:rsidRPr="00616B9D">
              <w:rPr>
                <w:rFonts w:asciiTheme="majorBidi" w:hAnsiTheme="majorBidi" w:cstheme="majorBidi"/>
              </w:rPr>
              <w:t>emahaman orang tua terhadap Vaksin MR</w:t>
            </w:r>
            <w:r w:rsidR="00616B9D" w:rsidRPr="00616B9D">
              <w:rPr>
                <w:rFonts w:asciiTheme="majorBidi" w:hAnsiTheme="majorBidi" w:cstheme="majorBidi"/>
                <w:lang w:val="en-ID"/>
              </w:rPr>
              <w:t xml:space="preserve"> berbeda</w:t>
            </w:r>
            <w:r w:rsidRPr="00616B9D">
              <w:rPr>
                <w:rFonts w:asciiTheme="majorBidi" w:hAnsiTheme="majorBidi" w:cstheme="majorBidi"/>
                <w:lang w:val="en-ID"/>
              </w:rPr>
              <w:t xml:space="preserve">. </w:t>
            </w:r>
            <w:r w:rsidRPr="00616B9D">
              <w:rPr>
                <w:rFonts w:asciiTheme="majorBidi" w:hAnsiTheme="majorBidi" w:cstheme="majorBidi"/>
                <w:lang w:val="en-ID"/>
              </w:rPr>
              <w:t>Terdapat orang tua yang memahami secara jelas ada pula pemahaman yang kurang. Sedangkan mengenai minat orang tua terhadap Vaksin MR setelah adanya putusan MUI adalah bahwa terdapat orang tua yang menyatakan bahwa putusan tersebut berpengaruh ada pula orang tua yang menyatakan bahwa putusan MUI tidak memiliki pengaruh yang kuat terhadap keputusannya</w:t>
            </w:r>
          </w:p>
        </w:tc>
      </w:tr>
      <w:tr w:rsidR="00616B9D" w:rsidRPr="003B5A55" w14:paraId="2520B77F" w14:textId="77777777" w:rsidTr="00616B9D">
        <w:trPr>
          <w:trHeight w:val="286"/>
        </w:trPr>
        <w:tc>
          <w:tcPr>
            <w:tcW w:w="485" w:type="dxa"/>
          </w:tcPr>
          <w:p w14:paraId="73C76B15" w14:textId="6AC4703F"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5</w:t>
            </w:r>
          </w:p>
        </w:tc>
        <w:tc>
          <w:tcPr>
            <w:tcW w:w="3667" w:type="dxa"/>
          </w:tcPr>
          <w:p w14:paraId="446401AF" w14:textId="2688EAA7" w:rsidR="003B5A55" w:rsidRPr="00616B9D" w:rsidRDefault="006659DD" w:rsidP="003B5A55">
            <w:pPr>
              <w:pStyle w:val="ListParagraph"/>
              <w:snapToGrid w:val="0"/>
              <w:spacing w:after="0" w:line="240" w:lineRule="auto"/>
              <w:ind w:left="0"/>
              <w:contextualSpacing w:val="0"/>
              <w:jc w:val="both"/>
              <w:rPr>
                <w:rFonts w:asciiTheme="majorBidi" w:hAnsiTheme="majorBidi" w:cstheme="majorBidi"/>
              </w:rPr>
            </w:pPr>
            <w:r w:rsidRPr="00616B9D">
              <w:rPr>
                <w:rFonts w:asciiTheme="majorBidi" w:hAnsiTheme="majorBidi" w:cstheme="majorBidi"/>
              </w:rPr>
              <w:t>Pengetahuan, Sikap, Dan Dukungan Keluarga Dengan Minat Imunisasi Measles Rubella Di Kelurahan Bukit Wolio Indah Kota Baubau</w:t>
            </w:r>
          </w:p>
        </w:tc>
        <w:tc>
          <w:tcPr>
            <w:tcW w:w="1979" w:type="dxa"/>
          </w:tcPr>
          <w:p w14:paraId="4BA1768F" w14:textId="0CBC9CBA" w:rsidR="003B5A55" w:rsidRPr="00616B9D" w:rsidRDefault="006659DD" w:rsidP="006659DD">
            <w:pPr>
              <w:pStyle w:val="ListParagraph"/>
              <w:snapToGrid w:val="0"/>
              <w:spacing w:after="0" w:line="240" w:lineRule="auto"/>
              <w:ind w:left="0"/>
              <w:jc w:val="both"/>
              <w:rPr>
                <w:rFonts w:asciiTheme="majorBidi" w:hAnsiTheme="majorBidi" w:cstheme="majorBidi"/>
                <w:lang w:val="en-ID"/>
              </w:rPr>
            </w:pPr>
            <w:r w:rsidRPr="00616B9D">
              <w:rPr>
                <w:rFonts w:asciiTheme="majorBidi" w:hAnsiTheme="majorBidi" w:cstheme="majorBidi"/>
                <w:lang w:val="en-ID"/>
              </w:rPr>
              <w:t>Taswin</w:t>
            </w:r>
            <w:r w:rsidR="0099075E" w:rsidRPr="00616B9D">
              <w:rPr>
                <w:rFonts w:asciiTheme="majorBidi" w:hAnsiTheme="majorBidi" w:cstheme="majorBidi"/>
                <w:lang w:val="en-ID"/>
              </w:rPr>
              <w:t xml:space="preserve"> </w:t>
            </w:r>
            <w:r w:rsidR="00946674" w:rsidRPr="00616B9D">
              <w:rPr>
                <w:rFonts w:asciiTheme="majorBidi" w:hAnsiTheme="majorBidi" w:cstheme="majorBidi"/>
                <w:lang w:val="en-ID"/>
              </w:rPr>
              <w:t>dkk</w:t>
            </w:r>
            <w:r w:rsidR="0099075E" w:rsidRPr="00616B9D">
              <w:rPr>
                <w:rFonts w:asciiTheme="majorBidi" w:hAnsiTheme="majorBidi" w:cstheme="majorBidi"/>
                <w:lang w:val="en-ID"/>
              </w:rPr>
              <w:t xml:space="preserve"> (2020)</w:t>
            </w:r>
          </w:p>
        </w:tc>
        <w:tc>
          <w:tcPr>
            <w:tcW w:w="2091" w:type="dxa"/>
          </w:tcPr>
          <w:p w14:paraId="2B37FD23" w14:textId="06E6A07B" w:rsidR="003B5A55" w:rsidRPr="00616B9D" w:rsidRDefault="006659DD" w:rsidP="003B5A55">
            <w:pPr>
              <w:snapToGrid w:val="0"/>
              <w:jc w:val="both"/>
              <w:rPr>
                <w:rFonts w:asciiTheme="majorBidi" w:hAnsiTheme="majorBidi" w:cstheme="majorBidi"/>
                <w:i/>
                <w:iCs/>
                <w:lang w:val="en-ID"/>
              </w:rPr>
            </w:pPr>
            <w:r w:rsidRPr="00616B9D">
              <w:rPr>
                <w:rFonts w:asciiTheme="majorBidi" w:hAnsiTheme="majorBidi" w:cstheme="majorBidi"/>
                <w:lang w:val="en-ID"/>
              </w:rPr>
              <w:t>Survei analitik de</w:t>
            </w:r>
            <w:r w:rsidR="0098340F" w:rsidRPr="00616B9D">
              <w:rPr>
                <w:rFonts w:asciiTheme="majorBidi" w:hAnsiTheme="majorBidi" w:cstheme="majorBidi"/>
                <w:lang w:val="en-ID"/>
              </w:rPr>
              <w:t>n</w:t>
            </w:r>
            <w:r w:rsidRPr="00616B9D">
              <w:rPr>
                <w:rFonts w:asciiTheme="majorBidi" w:hAnsiTheme="majorBidi" w:cstheme="majorBidi"/>
                <w:lang w:val="en-ID"/>
              </w:rPr>
              <w:t xml:space="preserve">gan pendekatan </w:t>
            </w:r>
            <w:r w:rsidRPr="00616B9D">
              <w:rPr>
                <w:rFonts w:asciiTheme="majorBidi" w:hAnsiTheme="majorBidi" w:cstheme="majorBidi"/>
                <w:i/>
                <w:iCs/>
                <w:lang w:val="en-ID"/>
              </w:rPr>
              <w:t>crossectional</w:t>
            </w:r>
          </w:p>
        </w:tc>
        <w:tc>
          <w:tcPr>
            <w:tcW w:w="5812" w:type="dxa"/>
          </w:tcPr>
          <w:p w14:paraId="1DF6EE4D" w14:textId="45E435B2" w:rsidR="003B5A55" w:rsidRPr="00616B9D" w:rsidRDefault="0098340F" w:rsidP="003B5A55">
            <w:pPr>
              <w:snapToGrid w:val="0"/>
              <w:jc w:val="both"/>
              <w:rPr>
                <w:rFonts w:asciiTheme="majorBidi" w:hAnsiTheme="majorBidi" w:cstheme="majorBidi"/>
              </w:rPr>
            </w:pPr>
            <w:r w:rsidRPr="00616B9D">
              <w:rPr>
                <w:rFonts w:asciiTheme="majorBidi" w:hAnsiTheme="majorBidi" w:cstheme="majorBidi"/>
                <w:lang w:val="en-ID"/>
              </w:rPr>
              <w:t>T</w:t>
            </w:r>
            <w:r w:rsidRPr="00616B9D">
              <w:rPr>
                <w:rFonts w:asciiTheme="majorBidi" w:hAnsiTheme="majorBidi" w:cstheme="majorBidi"/>
              </w:rPr>
              <w:t>erdapat hubungan pada variabel sikap dan pengetahuan dengan minat imunisasi MR di Kelurahan Bukit Wolio Indah Kota Baubau</w:t>
            </w:r>
          </w:p>
        </w:tc>
      </w:tr>
      <w:tr w:rsidR="00616B9D" w:rsidRPr="003B5A55" w14:paraId="363DD718" w14:textId="77777777" w:rsidTr="00616B9D">
        <w:trPr>
          <w:trHeight w:val="286"/>
        </w:trPr>
        <w:tc>
          <w:tcPr>
            <w:tcW w:w="485" w:type="dxa"/>
          </w:tcPr>
          <w:p w14:paraId="732C4D76" w14:textId="52023F83"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6</w:t>
            </w:r>
          </w:p>
        </w:tc>
        <w:tc>
          <w:tcPr>
            <w:tcW w:w="3667" w:type="dxa"/>
          </w:tcPr>
          <w:p w14:paraId="05A4AF44" w14:textId="52200631" w:rsidR="003B5A55" w:rsidRPr="00616B9D" w:rsidRDefault="0098340F" w:rsidP="003B5A55">
            <w:pPr>
              <w:pStyle w:val="ListParagraph"/>
              <w:tabs>
                <w:tab w:val="left" w:pos="854"/>
              </w:tabs>
              <w:snapToGrid w:val="0"/>
              <w:spacing w:after="0" w:line="240" w:lineRule="auto"/>
              <w:ind w:left="0"/>
              <w:contextualSpacing w:val="0"/>
              <w:rPr>
                <w:rFonts w:asciiTheme="majorBidi" w:hAnsiTheme="majorBidi" w:cstheme="majorBidi"/>
              </w:rPr>
            </w:pPr>
            <w:r w:rsidRPr="00616B9D">
              <w:rPr>
                <w:rFonts w:asciiTheme="majorBidi" w:hAnsiTheme="majorBidi" w:cstheme="majorBidi"/>
              </w:rPr>
              <w:t>Perilaku Ibu Dalam Imunisasi Dasar Lengkap Di Puskesmas Gayam Kabupaten Sumenep</w:t>
            </w:r>
          </w:p>
        </w:tc>
        <w:tc>
          <w:tcPr>
            <w:tcW w:w="1979" w:type="dxa"/>
          </w:tcPr>
          <w:p w14:paraId="19E47FE0" w14:textId="0DE47D2F" w:rsidR="003B5A55" w:rsidRPr="00616B9D" w:rsidRDefault="0098340F" w:rsidP="0099075E">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Miftahol Hudhah</w:t>
            </w:r>
            <w:r w:rsidRPr="00616B9D">
              <w:rPr>
                <w:rFonts w:asciiTheme="majorBidi" w:hAnsiTheme="majorBidi" w:cstheme="majorBidi"/>
                <w:lang w:val="en-ID"/>
              </w:rPr>
              <w:t xml:space="preserve"> dan </w:t>
            </w:r>
            <w:r w:rsidRPr="00616B9D">
              <w:rPr>
                <w:rFonts w:asciiTheme="majorBidi" w:hAnsiTheme="majorBidi" w:cstheme="majorBidi"/>
                <w:lang w:val="en-ID"/>
              </w:rPr>
              <w:t>Atik Choirul Hidajah</w:t>
            </w:r>
            <w:r w:rsidR="0099075E" w:rsidRPr="00616B9D">
              <w:rPr>
                <w:rFonts w:asciiTheme="majorBidi" w:hAnsiTheme="majorBidi" w:cstheme="majorBidi"/>
                <w:lang w:val="en-ID"/>
              </w:rPr>
              <w:t xml:space="preserve"> (2017)</w:t>
            </w:r>
          </w:p>
        </w:tc>
        <w:tc>
          <w:tcPr>
            <w:tcW w:w="2091" w:type="dxa"/>
          </w:tcPr>
          <w:p w14:paraId="6E0A6261" w14:textId="558722C4" w:rsidR="003B5A55" w:rsidRPr="00616B9D" w:rsidRDefault="0098340F" w:rsidP="003B5A55">
            <w:pPr>
              <w:snapToGrid w:val="0"/>
              <w:jc w:val="both"/>
              <w:rPr>
                <w:rFonts w:asciiTheme="majorBidi" w:hAnsiTheme="majorBidi" w:cstheme="majorBidi"/>
                <w:lang w:val="en-ID"/>
              </w:rPr>
            </w:pPr>
            <w:r w:rsidRPr="00616B9D">
              <w:rPr>
                <w:rFonts w:asciiTheme="majorBidi" w:hAnsiTheme="majorBidi" w:cstheme="majorBidi"/>
                <w:lang w:val="en-ID"/>
              </w:rPr>
              <w:t xml:space="preserve">Deskriptif kuantitatif </w:t>
            </w:r>
            <w:r w:rsidRPr="00616B9D">
              <w:rPr>
                <w:rFonts w:asciiTheme="majorBidi" w:hAnsiTheme="majorBidi" w:cstheme="majorBidi"/>
                <w:lang w:val="en-ID"/>
              </w:rPr>
              <w:t>de</w:t>
            </w:r>
            <w:r w:rsidRPr="00616B9D">
              <w:rPr>
                <w:rFonts w:asciiTheme="majorBidi" w:hAnsiTheme="majorBidi" w:cstheme="majorBidi"/>
                <w:lang w:val="en-ID"/>
              </w:rPr>
              <w:t>n</w:t>
            </w:r>
            <w:r w:rsidRPr="00616B9D">
              <w:rPr>
                <w:rFonts w:asciiTheme="majorBidi" w:hAnsiTheme="majorBidi" w:cstheme="majorBidi"/>
                <w:lang w:val="en-ID"/>
              </w:rPr>
              <w:t xml:space="preserve">gan pendekatan </w:t>
            </w:r>
            <w:r w:rsidRPr="00616B9D">
              <w:rPr>
                <w:rFonts w:asciiTheme="majorBidi" w:hAnsiTheme="majorBidi" w:cstheme="majorBidi"/>
                <w:i/>
                <w:iCs/>
                <w:lang w:val="en-ID"/>
              </w:rPr>
              <w:t>crossectional</w:t>
            </w:r>
          </w:p>
        </w:tc>
        <w:tc>
          <w:tcPr>
            <w:tcW w:w="5812" w:type="dxa"/>
          </w:tcPr>
          <w:p w14:paraId="1F6D114F" w14:textId="6A522D75" w:rsidR="003B5A55" w:rsidRPr="00616B9D" w:rsidRDefault="0098340F" w:rsidP="003B5A55">
            <w:pPr>
              <w:snapToGrid w:val="0"/>
              <w:jc w:val="both"/>
              <w:rPr>
                <w:rFonts w:asciiTheme="majorBidi" w:hAnsiTheme="majorBidi" w:cstheme="majorBidi"/>
                <w:lang w:val="en-ID"/>
              </w:rPr>
            </w:pPr>
            <w:r w:rsidRPr="00616B9D">
              <w:rPr>
                <w:rFonts w:asciiTheme="majorBidi" w:hAnsiTheme="majorBidi" w:cstheme="majorBidi"/>
                <w:lang w:val="en-ID"/>
              </w:rPr>
              <w:t>F</w:t>
            </w:r>
            <w:r w:rsidRPr="00616B9D">
              <w:rPr>
                <w:rFonts w:asciiTheme="majorBidi" w:hAnsiTheme="majorBidi" w:cstheme="majorBidi"/>
              </w:rPr>
              <w:t>aktor yang berhubungan dalam pencapaian imunisasi dasar lengkap yaitu tingkat pendidikan ibu, tingkat pengetahuan ibu, kepercayaan ibu dan sikap ibu</w:t>
            </w:r>
            <w:r w:rsidRPr="00616B9D">
              <w:rPr>
                <w:rFonts w:asciiTheme="majorBidi" w:hAnsiTheme="majorBidi" w:cstheme="majorBidi"/>
                <w:lang w:val="en-ID"/>
              </w:rPr>
              <w:t>.</w:t>
            </w:r>
          </w:p>
        </w:tc>
      </w:tr>
      <w:tr w:rsidR="00616B9D" w:rsidRPr="003B5A55" w14:paraId="76E38DB7" w14:textId="77777777" w:rsidTr="00616B9D">
        <w:trPr>
          <w:trHeight w:val="286"/>
        </w:trPr>
        <w:tc>
          <w:tcPr>
            <w:tcW w:w="485" w:type="dxa"/>
          </w:tcPr>
          <w:p w14:paraId="7D7193EC" w14:textId="3B4B5A3C"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lastRenderedPageBreak/>
              <w:t>7</w:t>
            </w:r>
          </w:p>
        </w:tc>
        <w:tc>
          <w:tcPr>
            <w:tcW w:w="3667" w:type="dxa"/>
          </w:tcPr>
          <w:p w14:paraId="0944CDA2" w14:textId="0E19E25B" w:rsidR="003B5A55" w:rsidRPr="00616B9D" w:rsidRDefault="00653A82" w:rsidP="00653A82">
            <w:pPr>
              <w:pStyle w:val="ListParagraph"/>
              <w:snapToGrid w:val="0"/>
              <w:spacing w:after="0" w:line="240" w:lineRule="auto"/>
              <w:ind w:left="31"/>
              <w:jc w:val="both"/>
              <w:rPr>
                <w:rFonts w:asciiTheme="majorBidi" w:hAnsiTheme="majorBidi" w:cstheme="majorBidi"/>
                <w:lang w:val="en-ID"/>
              </w:rPr>
            </w:pPr>
            <w:r w:rsidRPr="00616B9D">
              <w:rPr>
                <w:rFonts w:asciiTheme="majorBidi" w:hAnsiTheme="majorBidi" w:cstheme="majorBidi"/>
              </w:rPr>
              <w:t>Gambaran Penolakan Masyarakat Terhadap Imunisasi Dasar Lengkap Bagi Balita</w:t>
            </w:r>
            <w:r w:rsidRPr="00616B9D">
              <w:rPr>
                <w:rFonts w:asciiTheme="majorBidi" w:hAnsiTheme="majorBidi" w:cstheme="majorBidi"/>
                <w:lang w:val="en-ID"/>
              </w:rPr>
              <w:t xml:space="preserve"> </w:t>
            </w:r>
            <w:r w:rsidRPr="00616B9D">
              <w:rPr>
                <w:rFonts w:asciiTheme="majorBidi" w:hAnsiTheme="majorBidi" w:cstheme="majorBidi"/>
              </w:rPr>
              <w:t>(Studi Di Kelurahan Sendangmulyo, Kecamatan Tembalang, Kota Semarang)</w:t>
            </w:r>
          </w:p>
        </w:tc>
        <w:tc>
          <w:tcPr>
            <w:tcW w:w="1979" w:type="dxa"/>
          </w:tcPr>
          <w:p w14:paraId="2F916DEF" w14:textId="47C1F1FD" w:rsidR="003B5A55" w:rsidRPr="00616B9D" w:rsidRDefault="00653A82"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Pratiwi Sulistiyani</w:t>
            </w:r>
            <w:r w:rsidR="0099075E" w:rsidRPr="00616B9D">
              <w:rPr>
                <w:rFonts w:asciiTheme="majorBidi" w:hAnsiTheme="majorBidi" w:cstheme="majorBidi"/>
                <w:lang w:val="en-ID"/>
              </w:rPr>
              <w:t xml:space="preserve"> dkk (2017)</w:t>
            </w:r>
          </w:p>
        </w:tc>
        <w:tc>
          <w:tcPr>
            <w:tcW w:w="2091" w:type="dxa"/>
          </w:tcPr>
          <w:p w14:paraId="7933387F" w14:textId="539DE331" w:rsidR="003B5A55" w:rsidRPr="00616B9D" w:rsidRDefault="00653A82" w:rsidP="003B5A55">
            <w:pPr>
              <w:snapToGrid w:val="0"/>
              <w:jc w:val="both"/>
              <w:rPr>
                <w:rFonts w:asciiTheme="majorBidi" w:hAnsiTheme="majorBidi" w:cstheme="majorBidi"/>
                <w:lang w:val="en-ID"/>
              </w:rPr>
            </w:pPr>
            <w:r w:rsidRPr="00616B9D">
              <w:rPr>
                <w:rFonts w:asciiTheme="majorBidi" w:hAnsiTheme="majorBidi" w:cstheme="majorBidi"/>
                <w:lang w:val="en-ID"/>
              </w:rPr>
              <w:t>Kualitatif dengan studi etnografi</w:t>
            </w:r>
          </w:p>
        </w:tc>
        <w:tc>
          <w:tcPr>
            <w:tcW w:w="5812" w:type="dxa"/>
          </w:tcPr>
          <w:p w14:paraId="3D0B55B3" w14:textId="6EE3D4D7" w:rsidR="003B5A55" w:rsidRPr="00616B9D" w:rsidRDefault="006F14FE" w:rsidP="003B5A55">
            <w:pPr>
              <w:snapToGrid w:val="0"/>
              <w:jc w:val="both"/>
              <w:rPr>
                <w:rFonts w:asciiTheme="majorBidi" w:hAnsiTheme="majorBidi" w:cstheme="majorBidi"/>
              </w:rPr>
            </w:pPr>
            <w:r w:rsidRPr="00616B9D">
              <w:rPr>
                <w:rFonts w:asciiTheme="majorBidi" w:hAnsiTheme="majorBidi" w:cstheme="majorBidi"/>
                <w:lang w:val="en-ID"/>
              </w:rPr>
              <w:t>P</w:t>
            </w:r>
            <w:r w:rsidRPr="00616B9D">
              <w:rPr>
                <w:rFonts w:asciiTheme="majorBidi" w:hAnsiTheme="majorBidi" w:cstheme="majorBidi"/>
              </w:rPr>
              <w:t>enyebab subjek tidak memberikan imunisasi dasar lengkap kepada anaknya adalah karena miskonsepsi informasi imunisasi yang diperolehnya</w:t>
            </w:r>
          </w:p>
        </w:tc>
      </w:tr>
      <w:tr w:rsidR="00616B9D" w:rsidRPr="003B5A55" w14:paraId="53A4A9C9" w14:textId="77777777" w:rsidTr="00616B9D">
        <w:trPr>
          <w:trHeight w:val="76"/>
        </w:trPr>
        <w:tc>
          <w:tcPr>
            <w:tcW w:w="485" w:type="dxa"/>
          </w:tcPr>
          <w:p w14:paraId="12C08F95" w14:textId="54D17AE0" w:rsidR="003B5A55"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8</w:t>
            </w:r>
          </w:p>
        </w:tc>
        <w:tc>
          <w:tcPr>
            <w:tcW w:w="3667" w:type="dxa"/>
          </w:tcPr>
          <w:p w14:paraId="00510267" w14:textId="1B305F32" w:rsidR="003B5A55" w:rsidRPr="00616B9D" w:rsidRDefault="006F14FE" w:rsidP="006F14F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Hubungan Keyakinan Agama Islam Terhadap</w:t>
            </w:r>
            <w:r w:rsidRPr="00616B9D">
              <w:rPr>
                <w:rFonts w:asciiTheme="majorBidi" w:hAnsiTheme="majorBidi" w:cstheme="majorBidi"/>
                <w:lang w:val="en-ID"/>
              </w:rPr>
              <w:t xml:space="preserve"> </w:t>
            </w:r>
            <w:r w:rsidRPr="00616B9D">
              <w:rPr>
                <w:rFonts w:asciiTheme="majorBidi" w:hAnsiTheme="majorBidi" w:cstheme="majorBidi"/>
              </w:rPr>
              <w:t>Penerimaan Vaksin Measles Rubella Di Wilayah Kerja Puskesmas Kembaran I Banyumas</w:t>
            </w:r>
          </w:p>
        </w:tc>
        <w:tc>
          <w:tcPr>
            <w:tcW w:w="1979" w:type="dxa"/>
          </w:tcPr>
          <w:p w14:paraId="3ED5D088" w14:textId="1523CA94" w:rsidR="003B5A55" w:rsidRPr="00616B9D" w:rsidRDefault="006F14FE"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Havidza Rivani</w:t>
            </w:r>
            <w:r w:rsidR="0099075E" w:rsidRPr="00616B9D">
              <w:rPr>
                <w:rFonts w:asciiTheme="majorBidi" w:hAnsiTheme="majorBidi" w:cstheme="majorBidi"/>
                <w:lang w:val="en-ID"/>
              </w:rPr>
              <w:t xml:space="preserve"> dkk (2019)</w:t>
            </w:r>
          </w:p>
        </w:tc>
        <w:tc>
          <w:tcPr>
            <w:tcW w:w="2091" w:type="dxa"/>
          </w:tcPr>
          <w:p w14:paraId="2BADC434" w14:textId="70B698DA" w:rsidR="003B5A55" w:rsidRPr="00616B9D" w:rsidRDefault="006F14FE" w:rsidP="003B5A55">
            <w:pPr>
              <w:snapToGrid w:val="0"/>
              <w:jc w:val="both"/>
              <w:rPr>
                <w:rFonts w:asciiTheme="majorBidi" w:hAnsiTheme="majorBidi" w:cstheme="majorBidi"/>
                <w:lang w:val="en-ID"/>
              </w:rPr>
            </w:pPr>
            <w:r w:rsidRPr="00616B9D">
              <w:rPr>
                <w:rFonts w:asciiTheme="majorBidi" w:hAnsiTheme="majorBidi" w:cstheme="majorBidi"/>
                <w:lang w:val="en-ID"/>
              </w:rPr>
              <w:t xml:space="preserve">Kuantitatif observasional </w:t>
            </w:r>
            <w:r w:rsidRPr="00616B9D">
              <w:rPr>
                <w:rFonts w:asciiTheme="majorBidi" w:hAnsiTheme="majorBidi" w:cstheme="majorBidi"/>
                <w:lang w:val="en-ID"/>
              </w:rPr>
              <w:t xml:space="preserve">analitik dengan pendekatan </w:t>
            </w:r>
            <w:r w:rsidRPr="00616B9D">
              <w:rPr>
                <w:rFonts w:asciiTheme="majorBidi" w:hAnsiTheme="majorBidi" w:cstheme="majorBidi"/>
                <w:i/>
                <w:iCs/>
                <w:lang w:val="en-ID"/>
              </w:rPr>
              <w:t>crossectional</w:t>
            </w:r>
          </w:p>
        </w:tc>
        <w:tc>
          <w:tcPr>
            <w:tcW w:w="5812" w:type="dxa"/>
          </w:tcPr>
          <w:p w14:paraId="444CDC1A" w14:textId="131BF6E1" w:rsidR="003B5A55" w:rsidRPr="00616B9D" w:rsidRDefault="006F14FE" w:rsidP="003B5A55">
            <w:pPr>
              <w:snapToGrid w:val="0"/>
              <w:jc w:val="both"/>
              <w:rPr>
                <w:rFonts w:asciiTheme="majorBidi" w:hAnsiTheme="majorBidi" w:cstheme="majorBidi"/>
                <w:lang w:val="en-ID"/>
              </w:rPr>
            </w:pPr>
            <w:r w:rsidRPr="00616B9D">
              <w:rPr>
                <w:rFonts w:asciiTheme="majorBidi" w:hAnsiTheme="majorBidi" w:cstheme="majorBidi"/>
                <w:lang w:val="en-ID"/>
              </w:rPr>
              <w:t>T</w:t>
            </w:r>
            <w:r w:rsidRPr="00616B9D">
              <w:rPr>
                <w:rFonts w:asciiTheme="majorBidi" w:hAnsiTheme="majorBidi" w:cstheme="majorBidi"/>
              </w:rPr>
              <w:t>erdapat hubungan keyakinan agama Islam terhadap penerimaan vaksin Measles Rubella</w:t>
            </w:r>
            <w:r w:rsidRPr="00616B9D">
              <w:rPr>
                <w:rFonts w:asciiTheme="majorBidi" w:hAnsiTheme="majorBidi" w:cstheme="majorBidi"/>
                <w:lang w:val="en-ID"/>
              </w:rPr>
              <w:t>.</w:t>
            </w:r>
          </w:p>
        </w:tc>
      </w:tr>
      <w:tr w:rsidR="006F14FE" w:rsidRPr="003B5A55" w14:paraId="2E741E1A" w14:textId="77777777" w:rsidTr="00616B9D">
        <w:trPr>
          <w:trHeight w:val="76"/>
        </w:trPr>
        <w:tc>
          <w:tcPr>
            <w:tcW w:w="485" w:type="dxa"/>
          </w:tcPr>
          <w:p w14:paraId="3AC20A9C" w14:textId="0363BD5E" w:rsidR="006F14FE"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9</w:t>
            </w:r>
          </w:p>
        </w:tc>
        <w:tc>
          <w:tcPr>
            <w:tcW w:w="3667" w:type="dxa"/>
          </w:tcPr>
          <w:p w14:paraId="411DCBF4" w14:textId="46D599FB" w:rsidR="006F14FE" w:rsidRPr="00616B9D" w:rsidRDefault="0099075E" w:rsidP="006F14F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Polemik Antara Penerimaan Dan Penolakan Vaksinasi Kanak-</w:t>
            </w:r>
            <w:r w:rsidR="001E7DF3" w:rsidRPr="00616B9D">
              <w:rPr>
                <w:rFonts w:asciiTheme="majorBidi" w:hAnsiTheme="majorBidi" w:cstheme="majorBidi"/>
                <w:lang w:val="en-ID"/>
              </w:rPr>
              <w:t>K</w:t>
            </w:r>
            <w:r w:rsidRPr="00616B9D">
              <w:rPr>
                <w:rFonts w:asciiTheme="majorBidi" w:hAnsiTheme="majorBidi" w:cstheme="majorBidi"/>
              </w:rPr>
              <w:t>anak:</w:t>
            </w:r>
            <w:r w:rsidRPr="00616B9D">
              <w:rPr>
                <w:rFonts w:asciiTheme="majorBidi" w:hAnsiTheme="majorBidi" w:cstheme="majorBidi"/>
                <w:lang w:val="en-ID"/>
              </w:rPr>
              <w:t xml:space="preserve"> </w:t>
            </w:r>
            <w:r w:rsidRPr="00616B9D">
              <w:rPr>
                <w:rFonts w:asciiTheme="majorBidi" w:hAnsiTheme="majorBidi" w:cstheme="majorBidi"/>
              </w:rPr>
              <w:t>Analisis Dari Perspektif Islam</w:t>
            </w:r>
          </w:p>
        </w:tc>
        <w:tc>
          <w:tcPr>
            <w:tcW w:w="1979" w:type="dxa"/>
          </w:tcPr>
          <w:p w14:paraId="2F261BD8" w14:textId="4E52A9BC" w:rsidR="006F14FE" w:rsidRPr="00616B9D" w:rsidRDefault="0099075E"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rPr>
              <w:t>Tengku Fatimah</w:t>
            </w:r>
            <w:r w:rsidRPr="00616B9D">
              <w:rPr>
                <w:rFonts w:asciiTheme="majorBidi" w:hAnsiTheme="majorBidi" w:cstheme="majorBidi"/>
                <w:lang w:val="en-ID"/>
              </w:rPr>
              <w:t xml:space="preserve"> (</w:t>
            </w:r>
            <w:r w:rsidR="00946674" w:rsidRPr="00616B9D">
              <w:rPr>
                <w:rFonts w:asciiTheme="majorBidi" w:hAnsiTheme="majorBidi" w:cstheme="majorBidi"/>
                <w:lang w:val="en-ID"/>
              </w:rPr>
              <w:t>2018)</w:t>
            </w:r>
          </w:p>
        </w:tc>
        <w:tc>
          <w:tcPr>
            <w:tcW w:w="2091" w:type="dxa"/>
          </w:tcPr>
          <w:p w14:paraId="6406FCE4" w14:textId="19A72D22" w:rsidR="006F14FE" w:rsidRPr="00616B9D" w:rsidRDefault="00946674" w:rsidP="003B5A55">
            <w:pPr>
              <w:snapToGrid w:val="0"/>
              <w:jc w:val="both"/>
              <w:rPr>
                <w:rFonts w:asciiTheme="majorBidi" w:hAnsiTheme="majorBidi" w:cstheme="majorBidi"/>
                <w:lang w:val="en-ID"/>
              </w:rPr>
            </w:pPr>
            <w:r w:rsidRPr="00616B9D">
              <w:rPr>
                <w:rFonts w:asciiTheme="majorBidi" w:hAnsiTheme="majorBidi" w:cstheme="majorBidi"/>
                <w:lang w:val="en-ID"/>
              </w:rPr>
              <w:t>Kualitatif dan kepustakaan</w:t>
            </w:r>
          </w:p>
        </w:tc>
        <w:tc>
          <w:tcPr>
            <w:tcW w:w="5812" w:type="dxa"/>
          </w:tcPr>
          <w:p w14:paraId="7B20A558" w14:textId="06530B6D" w:rsidR="006F14FE" w:rsidRPr="00616B9D" w:rsidRDefault="001E7DF3" w:rsidP="003B5A55">
            <w:pPr>
              <w:snapToGrid w:val="0"/>
              <w:jc w:val="both"/>
              <w:rPr>
                <w:rFonts w:asciiTheme="majorBidi" w:hAnsiTheme="majorBidi" w:cstheme="majorBidi"/>
                <w:lang w:val="en-ID"/>
              </w:rPr>
            </w:pPr>
            <w:r w:rsidRPr="00616B9D">
              <w:rPr>
                <w:rFonts w:asciiTheme="majorBidi" w:hAnsiTheme="majorBidi" w:cstheme="majorBidi"/>
                <w:lang w:val="en-ID"/>
              </w:rPr>
              <w:t>H</w:t>
            </w:r>
            <w:r w:rsidRPr="00616B9D">
              <w:rPr>
                <w:rFonts w:asciiTheme="majorBidi" w:hAnsiTheme="majorBidi" w:cstheme="majorBidi"/>
                <w:lang w:val="en-ID"/>
              </w:rPr>
              <w:t>ukum Islam tentang vaksinasi diperlukan</w:t>
            </w:r>
            <w:r w:rsidRPr="00616B9D">
              <w:rPr>
                <w:rFonts w:asciiTheme="majorBidi" w:hAnsiTheme="majorBidi" w:cstheme="majorBidi"/>
                <w:lang w:val="en-ID"/>
              </w:rPr>
              <w:t xml:space="preserve"> </w:t>
            </w:r>
            <w:r w:rsidRPr="00616B9D">
              <w:rPr>
                <w:rFonts w:asciiTheme="majorBidi" w:hAnsiTheme="majorBidi" w:cstheme="majorBidi"/>
                <w:lang w:val="en-ID"/>
              </w:rPr>
              <w:t xml:space="preserve">mencegah risiko infeksi </w:t>
            </w:r>
            <w:r w:rsidRPr="00616B9D">
              <w:rPr>
                <w:rFonts w:asciiTheme="majorBidi" w:hAnsiTheme="majorBidi" w:cstheme="majorBidi"/>
                <w:lang w:val="en-ID"/>
              </w:rPr>
              <w:t xml:space="preserve">serta </w:t>
            </w:r>
            <w:r w:rsidRPr="00616B9D">
              <w:rPr>
                <w:rFonts w:asciiTheme="majorBidi" w:hAnsiTheme="majorBidi" w:cstheme="majorBidi"/>
                <w:lang w:val="en-ID"/>
              </w:rPr>
              <w:t>menurunkan angka kesakitan dan kematian pada anak</w:t>
            </w:r>
            <w:r w:rsidRPr="00616B9D">
              <w:rPr>
                <w:rFonts w:asciiTheme="majorBidi" w:hAnsiTheme="majorBidi" w:cstheme="majorBidi"/>
                <w:lang w:val="en-ID"/>
              </w:rPr>
              <w:t>.</w:t>
            </w:r>
          </w:p>
        </w:tc>
      </w:tr>
      <w:tr w:rsidR="006F14FE" w:rsidRPr="003B5A55" w14:paraId="24BA2EEA" w14:textId="77777777" w:rsidTr="00616B9D">
        <w:trPr>
          <w:trHeight w:val="76"/>
        </w:trPr>
        <w:tc>
          <w:tcPr>
            <w:tcW w:w="485" w:type="dxa"/>
          </w:tcPr>
          <w:p w14:paraId="37B38C1C" w14:textId="3D6B8BD7" w:rsidR="006F14FE"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10</w:t>
            </w:r>
          </w:p>
        </w:tc>
        <w:tc>
          <w:tcPr>
            <w:tcW w:w="3667" w:type="dxa"/>
          </w:tcPr>
          <w:p w14:paraId="7E12DEA4" w14:textId="6130ACA8" w:rsidR="006F14FE" w:rsidRPr="00616B9D" w:rsidRDefault="001E7DF3" w:rsidP="006F14F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Penghasilan Vaksin Yang Mengandungi Unsur Najis Menurut Perspektif Maqasid Syariah</w:t>
            </w:r>
          </w:p>
        </w:tc>
        <w:tc>
          <w:tcPr>
            <w:tcW w:w="1979" w:type="dxa"/>
          </w:tcPr>
          <w:p w14:paraId="34F43CEE" w14:textId="52FF8980" w:rsidR="006F14FE" w:rsidRPr="00616B9D" w:rsidRDefault="001E7DF3"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Muha</w:t>
            </w:r>
            <w:r w:rsidRPr="00616B9D">
              <w:rPr>
                <w:rFonts w:asciiTheme="majorBidi" w:hAnsiTheme="majorBidi" w:cstheme="majorBidi"/>
                <w:lang w:val="en-ID"/>
              </w:rPr>
              <w:t>mm</w:t>
            </w:r>
            <w:r w:rsidRPr="00616B9D">
              <w:rPr>
                <w:rFonts w:asciiTheme="majorBidi" w:hAnsiTheme="majorBidi" w:cstheme="majorBidi"/>
                <w:lang w:val="en-ID"/>
              </w:rPr>
              <w:t>ad Nazir</w:t>
            </w:r>
            <w:r w:rsidRPr="00616B9D">
              <w:rPr>
                <w:rFonts w:asciiTheme="majorBidi" w:hAnsiTheme="majorBidi" w:cstheme="majorBidi"/>
                <w:lang w:val="en-ID"/>
              </w:rPr>
              <w:t xml:space="preserve"> dkk (2020)</w:t>
            </w:r>
          </w:p>
        </w:tc>
        <w:tc>
          <w:tcPr>
            <w:tcW w:w="2091" w:type="dxa"/>
          </w:tcPr>
          <w:p w14:paraId="18D239F9" w14:textId="5DFDE979" w:rsidR="006F14FE" w:rsidRPr="00616B9D" w:rsidRDefault="001E7DF3" w:rsidP="003B5A55">
            <w:pPr>
              <w:snapToGrid w:val="0"/>
              <w:jc w:val="both"/>
              <w:rPr>
                <w:rFonts w:asciiTheme="majorBidi" w:hAnsiTheme="majorBidi" w:cstheme="majorBidi"/>
                <w:lang w:val="en-ID"/>
              </w:rPr>
            </w:pPr>
            <w:r w:rsidRPr="00616B9D">
              <w:rPr>
                <w:rFonts w:asciiTheme="majorBidi" w:hAnsiTheme="majorBidi" w:cstheme="majorBidi"/>
                <w:lang w:val="en-ID"/>
              </w:rPr>
              <w:t>Analisis deduktif</w:t>
            </w:r>
          </w:p>
        </w:tc>
        <w:tc>
          <w:tcPr>
            <w:tcW w:w="5812" w:type="dxa"/>
          </w:tcPr>
          <w:p w14:paraId="5406D22F" w14:textId="2AF82543" w:rsidR="006F14FE" w:rsidRPr="00616B9D" w:rsidRDefault="0026201B" w:rsidP="003B5A55">
            <w:pPr>
              <w:snapToGrid w:val="0"/>
              <w:jc w:val="both"/>
              <w:rPr>
                <w:rFonts w:asciiTheme="majorBidi" w:hAnsiTheme="majorBidi" w:cstheme="majorBidi"/>
                <w:lang w:val="en-ID"/>
              </w:rPr>
            </w:pPr>
            <w:r w:rsidRPr="00616B9D">
              <w:rPr>
                <w:rFonts w:asciiTheme="majorBidi" w:hAnsiTheme="majorBidi" w:cstheme="majorBidi"/>
                <w:lang w:val="en-ID"/>
              </w:rPr>
              <w:t>P</w:t>
            </w:r>
            <w:r w:rsidRPr="00616B9D">
              <w:rPr>
                <w:rFonts w:asciiTheme="majorBidi" w:hAnsiTheme="majorBidi" w:cstheme="majorBidi"/>
                <w:lang w:val="en-ID"/>
              </w:rPr>
              <w:t>roduksi vaksin yang mengandung unsur kotoran saat ini mengikuti prinsip maqashid syariah dan kondisi tertentu</w:t>
            </w:r>
            <w:r w:rsidRPr="00616B9D">
              <w:rPr>
                <w:rFonts w:asciiTheme="majorBidi" w:hAnsiTheme="majorBidi" w:cstheme="majorBidi"/>
                <w:lang w:val="en-ID"/>
              </w:rPr>
              <w:t xml:space="preserve"> yakni haram.</w:t>
            </w:r>
          </w:p>
        </w:tc>
      </w:tr>
      <w:tr w:rsidR="006F14FE" w:rsidRPr="003B5A55" w14:paraId="5FB1BD18" w14:textId="77777777" w:rsidTr="00616B9D">
        <w:trPr>
          <w:trHeight w:val="76"/>
        </w:trPr>
        <w:tc>
          <w:tcPr>
            <w:tcW w:w="485" w:type="dxa"/>
          </w:tcPr>
          <w:p w14:paraId="15A698AF" w14:textId="7D849856" w:rsidR="006F14FE"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11</w:t>
            </w:r>
          </w:p>
        </w:tc>
        <w:tc>
          <w:tcPr>
            <w:tcW w:w="3667" w:type="dxa"/>
          </w:tcPr>
          <w:p w14:paraId="333C249A" w14:textId="143A3A9A" w:rsidR="006F14FE" w:rsidRPr="00616B9D" w:rsidRDefault="0026201B" w:rsidP="006F14F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Primary Immunization among Children in Malaysia: Reasons for Incomplete Vaccination</w:t>
            </w:r>
          </w:p>
        </w:tc>
        <w:tc>
          <w:tcPr>
            <w:tcW w:w="1979" w:type="dxa"/>
          </w:tcPr>
          <w:p w14:paraId="2554F62C" w14:textId="00BB5A95" w:rsidR="006F14FE" w:rsidRPr="00616B9D" w:rsidRDefault="0026201B"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Noor Ani Ahmad</w:t>
            </w:r>
            <w:r w:rsidRPr="00616B9D">
              <w:rPr>
                <w:rFonts w:asciiTheme="majorBidi" w:hAnsiTheme="majorBidi" w:cstheme="majorBidi"/>
                <w:lang w:val="en-ID"/>
              </w:rPr>
              <w:t xml:space="preserve"> (2017)</w:t>
            </w:r>
          </w:p>
        </w:tc>
        <w:tc>
          <w:tcPr>
            <w:tcW w:w="2091" w:type="dxa"/>
          </w:tcPr>
          <w:p w14:paraId="4774C1BD" w14:textId="36E233EB" w:rsidR="006F14FE" w:rsidRPr="00616B9D" w:rsidRDefault="0026201B" w:rsidP="003B5A55">
            <w:pPr>
              <w:snapToGrid w:val="0"/>
              <w:jc w:val="both"/>
              <w:rPr>
                <w:rFonts w:asciiTheme="majorBidi" w:hAnsiTheme="majorBidi" w:cstheme="majorBidi"/>
                <w:lang w:val="en-ID"/>
              </w:rPr>
            </w:pPr>
            <w:r w:rsidRPr="00616B9D">
              <w:rPr>
                <w:rFonts w:asciiTheme="majorBidi" w:hAnsiTheme="majorBidi" w:cstheme="majorBidi"/>
                <w:lang w:val="en-ID"/>
              </w:rPr>
              <w:t>Survei</w:t>
            </w:r>
          </w:p>
        </w:tc>
        <w:tc>
          <w:tcPr>
            <w:tcW w:w="5812" w:type="dxa"/>
          </w:tcPr>
          <w:p w14:paraId="65393BA3" w14:textId="7C54F952" w:rsidR="00616B9D" w:rsidRPr="00616B9D" w:rsidRDefault="002E4C3D" w:rsidP="00616B9D">
            <w:pPr>
              <w:snapToGrid w:val="0"/>
              <w:jc w:val="both"/>
              <w:rPr>
                <w:rFonts w:asciiTheme="majorBidi" w:hAnsiTheme="majorBidi" w:cstheme="majorBidi"/>
                <w:lang w:val="en-ID"/>
              </w:rPr>
            </w:pPr>
            <w:r w:rsidRPr="00616B9D">
              <w:rPr>
                <w:rFonts w:asciiTheme="majorBidi" w:hAnsiTheme="majorBidi" w:cstheme="majorBidi"/>
                <w:lang w:val="en-ID"/>
              </w:rPr>
              <w:t>Anak dengan imunisasi tidak lengkap di Malaysia lebih banyak berasal dari perkotaan dan</w:t>
            </w:r>
            <w:r w:rsidRPr="00616B9D">
              <w:rPr>
                <w:rFonts w:asciiTheme="majorBidi" w:hAnsiTheme="majorBidi" w:cstheme="majorBidi"/>
                <w:lang w:val="en-ID"/>
              </w:rPr>
              <w:t xml:space="preserve"> </w:t>
            </w:r>
            <w:r w:rsidRPr="00616B9D">
              <w:rPr>
                <w:rFonts w:asciiTheme="majorBidi" w:hAnsiTheme="majorBidi" w:cstheme="majorBidi"/>
                <w:lang w:val="en-ID"/>
              </w:rPr>
              <w:t>mendapat perawatan di fasilitas kesehatan swasta</w:t>
            </w:r>
            <w:r w:rsidRPr="00616B9D">
              <w:rPr>
                <w:rFonts w:asciiTheme="majorBidi" w:hAnsiTheme="majorBidi" w:cstheme="majorBidi"/>
                <w:lang w:val="en-ID"/>
              </w:rPr>
              <w:t>.</w:t>
            </w:r>
          </w:p>
        </w:tc>
      </w:tr>
      <w:tr w:rsidR="006F14FE" w:rsidRPr="003B5A55" w14:paraId="57009E00" w14:textId="77777777" w:rsidTr="00616B9D">
        <w:trPr>
          <w:trHeight w:val="76"/>
        </w:trPr>
        <w:tc>
          <w:tcPr>
            <w:tcW w:w="485" w:type="dxa"/>
          </w:tcPr>
          <w:p w14:paraId="40B03C9A" w14:textId="2209B2ED" w:rsidR="006F14FE"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12</w:t>
            </w:r>
          </w:p>
        </w:tc>
        <w:tc>
          <w:tcPr>
            <w:tcW w:w="3667" w:type="dxa"/>
          </w:tcPr>
          <w:p w14:paraId="4411B597" w14:textId="6ABEAF2C" w:rsidR="006F14FE" w:rsidRPr="00616B9D" w:rsidRDefault="002E4C3D" w:rsidP="006F14F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noProof/>
              </w:rPr>
              <w:t>Vaccine hesitancy among parents in Kuala Lumpur: a single center study</w:t>
            </w:r>
          </w:p>
        </w:tc>
        <w:tc>
          <w:tcPr>
            <w:tcW w:w="1979" w:type="dxa"/>
          </w:tcPr>
          <w:p w14:paraId="76702CEE" w14:textId="37FB2594" w:rsidR="006F14FE" w:rsidRPr="00616B9D" w:rsidRDefault="002E4C3D"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Ahmad Farouk Musa</w:t>
            </w:r>
            <w:r w:rsidRPr="00616B9D">
              <w:rPr>
                <w:rFonts w:asciiTheme="majorBidi" w:hAnsiTheme="majorBidi" w:cstheme="majorBidi"/>
                <w:lang w:val="en-ID"/>
              </w:rPr>
              <w:t xml:space="preserve"> dkk (2019)</w:t>
            </w:r>
          </w:p>
        </w:tc>
        <w:tc>
          <w:tcPr>
            <w:tcW w:w="2091" w:type="dxa"/>
          </w:tcPr>
          <w:p w14:paraId="4878A6D0" w14:textId="467D0445" w:rsidR="006F14FE" w:rsidRPr="00616B9D" w:rsidRDefault="001C5F04" w:rsidP="003B5A55">
            <w:pPr>
              <w:snapToGrid w:val="0"/>
              <w:jc w:val="both"/>
              <w:rPr>
                <w:rFonts w:asciiTheme="majorBidi" w:hAnsiTheme="majorBidi" w:cstheme="majorBidi"/>
                <w:lang w:val="en-ID"/>
              </w:rPr>
            </w:pPr>
            <w:r w:rsidRPr="00616B9D">
              <w:rPr>
                <w:rFonts w:asciiTheme="majorBidi" w:hAnsiTheme="majorBidi" w:cstheme="majorBidi"/>
                <w:lang w:val="en-ID"/>
              </w:rPr>
              <w:t>Studi potong lintang</w:t>
            </w:r>
          </w:p>
        </w:tc>
        <w:tc>
          <w:tcPr>
            <w:tcW w:w="5812" w:type="dxa"/>
          </w:tcPr>
          <w:p w14:paraId="57A4593F" w14:textId="65008F5C" w:rsidR="001C5F04" w:rsidRPr="00616B9D" w:rsidRDefault="002E4C3D" w:rsidP="00F4120C">
            <w:pPr>
              <w:snapToGrid w:val="0"/>
              <w:jc w:val="both"/>
              <w:rPr>
                <w:rFonts w:asciiTheme="majorBidi" w:hAnsiTheme="majorBidi" w:cstheme="majorBidi"/>
                <w:lang w:val="en-ID"/>
              </w:rPr>
            </w:pPr>
            <w:r w:rsidRPr="00616B9D">
              <w:rPr>
                <w:rFonts w:asciiTheme="majorBidi" w:hAnsiTheme="majorBidi" w:cstheme="majorBidi"/>
                <w:lang w:val="en-ID"/>
              </w:rPr>
              <w:t xml:space="preserve">Faktor-faktor yang berkontribusi terhadap prevalensi </w:t>
            </w:r>
            <w:r w:rsidRPr="00616B9D">
              <w:rPr>
                <w:rFonts w:asciiTheme="majorBidi" w:hAnsiTheme="majorBidi" w:cstheme="majorBidi"/>
                <w:lang w:val="en-ID"/>
              </w:rPr>
              <w:t>penolakan vaksin</w:t>
            </w:r>
            <w:r w:rsidRPr="00616B9D">
              <w:rPr>
                <w:rFonts w:asciiTheme="majorBidi" w:hAnsiTheme="majorBidi" w:cstheme="majorBidi"/>
                <w:lang w:val="en-ID"/>
              </w:rPr>
              <w:t xml:space="preserve"> 14,5% di K</w:t>
            </w:r>
            <w:r w:rsidRPr="00616B9D">
              <w:rPr>
                <w:rFonts w:asciiTheme="majorBidi" w:hAnsiTheme="majorBidi" w:cstheme="majorBidi"/>
                <w:lang w:val="en-ID"/>
              </w:rPr>
              <w:t>uala Lumpur</w:t>
            </w:r>
            <w:r w:rsidRPr="00616B9D">
              <w:rPr>
                <w:rFonts w:asciiTheme="majorBidi" w:hAnsiTheme="majorBidi" w:cstheme="majorBidi"/>
                <w:lang w:val="en-ID"/>
              </w:rPr>
              <w:t>, Malaysia harus dipelajari lebih lanjut untuk mengidentifikasi hubungan temporal dengan kekurangan imunisasi pada anak untuk mencapai tujuan WHO yaitu cakupan imunisasi 100% pada anak dan pemberantasan vaksin penyakit yang dapat dicegah</w:t>
            </w:r>
          </w:p>
        </w:tc>
      </w:tr>
      <w:tr w:rsidR="006F14FE" w:rsidRPr="003B5A55" w14:paraId="5327BA01" w14:textId="77777777" w:rsidTr="00616B9D">
        <w:trPr>
          <w:trHeight w:val="76"/>
        </w:trPr>
        <w:tc>
          <w:tcPr>
            <w:tcW w:w="485" w:type="dxa"/>
          </w:tcPr>
          <w:p w14:paraId="4DBA5737" w14:textId="5943F79C" w:rsidR="006F14FE"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13</w:t>
            </w:r>
          </w:p>
        </w:tc>
        <w:tc>
          <w:tcPr>
            <w:tcW w:w="3667" w:type="dxa"/>
          </w:tcPr>
          <w:p w14:paraId="00B0C46F" w14:textId="2B69E3FC" w:rsidR="006F14FE" w:rsidRPr="00616B9D" w:rsidRDefault="001C5F04" w:rsidP="006F14F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Vaccine hesitancy and the resurgence of vaccine preventable diseases: the way forward for Malaysia, a Southeast Asian country</w:t>
            </w:r>
          </w:p>
        </w:tc>
        <w:tc>
          <w:tcPr>
            <w:tcW w:w="1979" w:type="dxa"/>
          </w:tcPr>
          <w:p w14:paraId="186C7592" w14:textId="163D12EC" w:rsidR="006F14FE" w:rsidRPr="00616B9D" w:rsidRDefault="001C5F04"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L.P Wong dkk (2020)</w:t>
            </w:r>
          </w:p>
        </w:tc>
        <w:tc>
          <w:tcPr>
            <w:tcW w:w="2091" w:type="dxa"/>
          </w:tcPr>
          <w:p w14:paraId="13E73211" w14:textId="69CE20BD" w:rsidR="006F14FE" w:rsidRPr="00616B9D" w:rsidRDefault="001C5F04" w:rsidP="003B5A55">
            <w:pPr>
              <w:snapToGrid w:val="0"/>
              <w:jc w:val="both"/>
              <w:rPr>
                <w:rFonts w:asciiTheme="majorBidi" w:hAnsiTheme="majorBidi" w:cstheme="majorBidi"/>
                <w:lang w:val="en-ID"/>
              </w:rPr>
            </w:pPr>
            <w:r w:rsidRPr="00616B9D">
              <w:rPr>
                <w:rFonts w:asciiTheme="majorBidi" w:hAnsiTheme="majorBidi" w:cstheme="majorBidi"/>
                <w:lang w:val="en-ID"/>
              </w:rPr>
              <w:t>Kualitatif wawancara semi terstruktur</w:t>
            </w:r>
          </w:p>
        </w:tc>
        <w:tc>
          <w:tcPr>
            <w:tcW w:w="5812" w:type="dxa"/>
          </w:tcPr>
          <w:p w14:paraId="277874DB" w14:textId="14E416AB" w:rsidR="006F14FE" w:rsidRPr="00616B9D" w:rsidRDefault="001C5F04" w:rsidP="003B5A55">
            <w:pPr>
              <w:snapToGrid w:val="0"/>
              <w:jc w:val="both"/>
              <w:rPr>
                <w:rFonts w:asciiTheme="majorBidi" w:hAnsiTheme="majorBidi" w:cstheme="majorBidi"/>
                <w:lang w:val="en-ID"/>
              </w:rPr>
            </w:pPr>
            <w:r w:rsidRPr="00616B9D">
              <w:rPr>
                <w:rFonts w:asciiTheme="majorBidi" w:hAnsiTheme="majorBidi" w:cstheme="majorBidi"/>
                <w:lang w:val="en-ID"/>
              </w:rPr>
              <w:t>B</w:t>
            </w:r>
            <w:r w:rsidRPr="00616B9D">
              <w:rPr>
                <w:rFonts w:asciiTheme="majorBidi" w:hAnsiTheme="majorBidi" w:cstheme="majorBidi"/>
                <w:lang w:val="en-ID"/>
              </w:rPr>
              <w:t>udaya lokal, kepercayaan tradisional dan agama yang unik yang dapat berkontribusi pada keraguan vaksin di samping masalah seputar penolakan vaksinasi yang sama dihadapi oleh negara-negara lain di seluruh dunia</w:t>
            </w:r>
          </w:p>
        </w:tc>
      </w:tr>
      <w:tr w:rsidR="006F14FE" w:rsidRPr="003B5A55" w14:paraId="6AE348CB" w14:textId="77777777" w:rsidTr="00616B9D">
        <w:trPr>
          <w:trHeight w:val="76"/>
        </w:trPr>
        <w:tc>
          <w:tcPr>
            <w:tcW w:w="485" w:type="dxa"/>
          </w:tcPr>
          <w:p w14:paraId="3617A2A6" w14:textId="6535CD68" w:rsidR="006F14FE"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ID"/>
              </w:rPr>
            </w:pPr>
            <w:r w:rsidRPr="00616B9D">
              <w:rPr>
                <w:rFonts w:asciiTheme="majorBidi" w:hAnsiTheme="majorBidi" w:cstheme="majorBidi"/>
                <w:lang w:val="en-ID"/>
              </w:rPr>
              <w:t>14</w:t>
            </w:r>
          </w:p>
        </w:tc>
        <w:tc>
          <w:tcPr>
            <w:tcW w:w="3667" w:type="dxa"/>
          </w:tcPr>
          <w:p w14:paraId="615E1124" w14:textId="77777777" w:rsidR="00A979AE" w:rsidRPr="00616B9D" w:rsidRDefault="00A979AE" w:rsidP="00A979A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Parents’ knowledge, beliefs, and acceptance of the HPV vaccination in relation to their</w:t>
            </w:r>
          </w:p>
          <w:p w14:paraId="43C79A37" w14:textId="70C485FD" w:rsidR="006F14FE" w:rsidRPr="00616B9D" w:rsidRDefault="00A979AE" w:rsidP="00A979A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socio-demographics and religious beliefs: A cross-sectional study in Thailand</w:t>
            </w:r>
          </w:p>
        </w:tc>
        <w:tc>
          <w:tcPr>
            <w:tcW w:w="1979" w:type="dxa"/>
          </w:tcPr>
          <w:p w14:paraId="5B73F6A3" w14:textId="113BD5CE" w:rsidR="006F14FE" w:rsidRPr="00616B9D" w:rsidRDefault="00A979AE"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Maria Grandahl</w:t>
            </w:r>
            <w:r w:rsidRPr="00616B9D">
              <w:rPr>
                <w:rFonts w:asciiTheme="majorBidi" w:hAnsiTheme="majorBidi" w:cstheme="majorBidi"/>
                <w:lang w:val="en-ID"/>
              </w:rPr>
              <w:t xml:space="preserve"> dkk (2018)</w:t>
            </w:r>
          </w:p>
        </w:tc>
        <w:tc>
          <w:tcPr>
            <w:tcW w:w="2091" w:type="dxa"/>
          </w:tcPr>
          <w:p w14:paraId="0AC9B012" w14:textId="0DCBAA1C" w:rsidR="006F14FE" w:rsidRPr="00616B9D" w:rsidRDefault="00A979AE" w:rsidP="003B5A55">
            <w:pPr>
              <w:snapToGrid w:val="0"/>
              <w:jc w:val="both"/>
              <w:rPr>
                <w:rFonts w:asciiTheme="majorBidi" w:hAnsiTheme="majorBidi" w:cstheme="majorBidi"/>
                <w:lang w:val="en-ID"/>
              </w:rPr>
            </w:pPr>
            <w:r w:rsidRPr="00616B9D">
              <w:rPr>
                <w:rFonts w:asciiTheme="majorBidi" w:hAnsiTheme="majorBidi" w:cstheme="majorBidi"/>
                <w:lang w:val="en-ID"/>
              </w:rPr>
              <w:t>K</w:t>
            </w:r>
            <w:r w:rsidRPr="00616B9D">
              <w:rPr>
                <w:rFonts w:asciiTheme="majorBidi" w:hAnsiTheme="majorBidi" w:cstheme="majorBidi"/>
                <w:lang w:val="en-ID"/>
              </w:rPr>
              <w:t xml:space="preserve">uantitatif dengan pendekatan </w:t>
            </w:r>
            <w:r w:rsidRPr="00616B9D">
              <w:rPr>
                <w:rFonts w:asciiTheme="majorBidi" w:hAnsiTheme="majorBidi" w:cstheme="majorBidi"/>
                <w:i/>
                <w:iCs/>
                <w:lang w:val="en-ID"/>
              </w:rPr>
              <w:t>crossectional</w:t>
            </w:r>
          </w:p>
        </w:tc>
        <w:tc>
          <w:tcPr>
            <w:tcW w:w="5812" w:type="dxa"/>
          </w:tcPr>
          <w:p w14:paraId="767468BE" w14:textId="21658341" w:rsidR="006F14FE" w:rsidRPr="00616B9D" w:rsidRDefault="00A979AE" w:rsidP="003B5A55">
            <w:pPr>
              <w:snapToGrid w:val="0"/>
              <w:jc w:val="both"/>
              <w:rPr>
                <w:rFonts w:asciiTheme="majorBidi" w:hAnsiTheme="majorBidi" w:cstheme="majorBidi"/>
                <w:lang w:val="en-ID"/>
              </w:rPr>
            </w:pPr>
            <w:r w:rsidRPr="00616B9D">
              <w:rPr>
                <w:rFonts w:asciiTheme="majorBidi" w:hAnsiTheme="majorBidi" w:cstheme="majorBidi"/>
                <w:lang w:val="en-ID"/>
              </w:rPr>
              <w:t xml:space="preserve">Terdapat </w:t>
            </w:r>
            <w:r w:rsidRPr="00616B9D">
              <w:rPr>
                <w:rFonts w:asciiTheme="majorBidi" w:hAnsiTheme="majorBidi" w:cstheme="majorBidi"/>
                <w:lang w:val="en-ID"/>
              </w:rPr>
              <w:t>hubungan antara pengetahuan, keyakinan, dan penerimaan orang tua terhadap vaksinasi HPV untuk anak perempuan mereka, dengan mempertimbangkan sosio-demografis dan keyakinan agama mereka</w:t>
            </w:r>
            <w:r w:rsidRPr="00616B9D">
              <w:rPr>
                <w:rFonts w:asciiTheme="majorBidi" w:hAnsiTheme="majorBidi" w:cstheme="majorBidi"/>
                <w:lang w:val="en-ID"/>
              </w:rPr>
              <w:t>.</w:t>
            </w:r>
          </w:p>
        </w:tc>
      </w:tr>
      <w:tr w:rsidR="006F14FE" w:rsidRPr="003B5A55" w14:paraId="71F62DE0" w14:textId="77777777" w:rsidTr="00616B9D">
        <w:trPr>
          <w:trHeight w:val="76"/>
        </w:trPr>
        <w:tc>
          <w:tcPr>
            <w:tcW w:w="485" w:type="dxa"/>
          </w:tcPr>
          <w:p w14:paraId="2C6C72AF" w14:textId="513BF9E8" w:rsidR="006F14FE" w:rsidRPr="00616B9D" w:rsidRDefault="00F4120C" w:rsidP="003B5A55">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lastRenderedPageBreak/>
              <w:t>15</w:t>
            </w:r>
          </w:p>
        </w:tc>
        <w:tc>
          <w:tcPr>
            <w:tcW w:w="3667" w:type="dxa"/>
          </w:tcPr>
          <w:p w14:paraId="57785C72" w14:textId="313E544E" w:rsidR="006F14FE" w:rsidRPr="00616B9D" w:rsidRDefault="009C7822" w:rsidP="006F14FE">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Factors involved in human papillomavirus (HPV) vaccine hesitancy among women in the South-East Asian Region (SEAR) and Western Pacific Region (WPR): A scoping review</w:t>
            </w:r>
          </w:p>
        </w:tc>
        <w:tc>
          <w:tcPr>
            <w:tcW w:w="1979" w:type="dxa"/>
          </w:tcPr>
          <w:p w14:paraId="3F7F5615" w14:textId="790C80A1" w:rsidR="006F14FE" w:rsidRPr="00616B9D" w:rsidRDefault="009C7822" w:rsidP="003B5A5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Diviya Santhanes</w:t>
            </w:r>
            <w:r w:rsidRPr="00616B9D">
              <w:rPr>
                <w:rFonts w:asciiTheme="majorBidi" w:hAnsiTheme="majorBidi" w:cstheme="majorBidi"/>
                <w:lang w:val="en-ID"/>
              </w:rPr>
              <w:t xml:space="preserve"> dkk (2018)</w:t>
            </w:r>
          </w:p>
        </w:tc>
        <w:tc>
          <w:tcPr>
            <w:tcW w:w="2091" w:type="dxa"/>
          </w:tcPr>
          <w:p w14:paraId="13164736" w14:textId="2A0080A5" w:rsidR="006F14FE" w:rsidRPr="00616B9D" w:rsidRDefault="009C7822" w:rsidP="003B5A55">
            <w:pPr>
              <w:snapToGrid w:val="0"/>
              <w:jc w:val="both"/>
              <w:rPr>
                <w:rFonts w:asciiTheme="majorBidi" w:hAnsiTheme="majorBidi" w:cstheme="majorBidi"/>
                <w:lang w:val="en-ID"/>
              </w:rPr>
            </w:pPr>
            <w:r w:rsidRPr="00616B9D">
              <w:rPr>
                <w:rFonts w:asciiTheme="majorBidi" w:hAnsiTheme="majorBidi" w:cstheme="majorBidi"/>
                <w:lang w:val="en-ID"/>
              </w:rPr>
              <w:t>Tinjauan Pustaka</w:t>
            </w:r>
          </w:p>
        </w:tc>
        <w:tc>
          <w:tcPr>
            <w:tcW w:w="5812" w:type="dxa"/>
          </w:tcPr>
          <w:p w14:paraId="58B6A574" w14:textId="272D1F0C" w:rsidR="006F14FE" w:rsidRPr="00616B9D" w:rsidRDefault="009C7822" w:rsidP="003B5A55">
            <w:pPr>
              <w:snapToGrid w:val="0"/>
              <w:jc w:val="both"/>
              <w:rPr>
                <w:rFonts w:asciiTheme="majorBidi" w:hAnsiTheme="majorBidi" w:cstheme="majorBidi"/>
                <w:lang w:val="en-ID"/>
              </w:rPr>
            </w:pPr>
            <w:r w:rsidRPr="00616B9D">
              <w:rPr>
                <w:rFonts w:asciiTheme="majorBidi" w:hAnsiTheme="majorBidi" w:cstheme="majorBidi"/>
                <w:lang w:val="en-ID"/>
              </w:rPr>
              <w:t>P</w:t>
            </w:r>
            <w:r w:rsidRPr="00616B9D">
              <w:rPr>
                <w:rFonts w:asciiTheme="majorBidi" w:hAnsiTheme="majorBidi" w:cstheme="majorBidi"/>
                <w:lang w:val="en-ID"/>
              </w:rPr>
              <w:t>roses pengambilan keputusan perempuan dalam mendapatkan vaksin HPV diatur oleh persepsi perempuan itu sendiri, dan pandangan pihak ketiga, seperti keluarga, teman, dan profesional kesehatan</w:t>
            </w:r>
            <w:r w:rsidR="004D4524" w:rsidRPr="00616B9D">
              <w:rPr>
                <w:rFonts w:asciiTheme="majorBidi" w:hAnsiTheme="majorBidi" w:cstheme="majorBidi"/>
                <w:lang w:val="en-ID"/>
              </w:rPr>
              <w:t>.</w:t>
            </w:r>
          </w:p>
        </w:tc>
      </w:tr>
      <w:tr w:rsidR="004D4524" w:rsidRPr="003B5A55" w14:paraId="29CF15FF" w14:textId="77777777" w:rsidTr="00616B9D">
        <w:trPr>
          <w:trHeight w:val="76"/>
        </w:trPr>
        <w:tc>
          <w:tcPr>
            <w:tcW w:w="485" w:type="dxa"/>
          </w:tcPr>
          <w:p w14:paraId="2347162D" w14:textId="61674D52"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16</w:t>
            </w:r>
          </w:p>
        </w:tc>
        <w:tc>
          <w:tcPr>
            <w:tcW w:w="3667" w:type="dxa"/>
          </w:tcPr>
          <w:p w14:paraId="792A7118" w14:textId="72FC731E" w:rsidR="004D4524" w:rsidRPr="00616B9D" w:rsidRDefault="004D4524"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Measles susceptibility in young Thai men suggests need for young adult measles vaccination: a cross sectional study</w:t>
            </w:r>
          </w:p>
        </w:tc>
        <w:tc>
          <w:tcPr>
            <w:tcW w:w="1979" w:type="dxa"/>
          </w:tcPr>
          <w:p w14:paraId="6C41A120" w14:textId="1A1E813A" w:rsidR="004D4524" w:rsidRPr="00616B9D" w:rsidRDefault="004D4524"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Siriphan Gonwong</w:t>
            </w:r>
            <w:r w:rsidRPr="00616B9D">
              <w:rPr>
                <w:rFonts w:asciiTheme="majorBidi" w:hAnsiTheme="majorBidi" w:cstheme="majorBidi"/>
                <w:lang w:val="en-ID"/>
              </w:rPr>
              <w:t xml:space="preserve"> dkk (2016)</w:t>
            </w:r>
          </w:p>
        </w:tc>
        <w:tc>
          <w:tcPr>
            <w:tcW w:w="2091" w:type="dxa"/>
          </w:tcPr>
          <w:p w14:paraId="2CCF28C2" w14:textId="4CAE70D0" w:rsidR="004D4524" w:rsidRPr="00616B9D" w:rsidRDefault="004D4524" w:rsidP="004D4524">
            <w:pPr>
              <w:snapToGrid w:val="0"/>
              <w:jc w:val="both"/>
              <w:rPr>
                <w:rFonts w:asciiTheme="majorBidi" w:hAnsiTheme="majorBidi" w:cstheme="majorBidi"/>
                <w:lang w:val="en-ID"/>
              </w:rPr>
            </w:pPr>
            <w:r w:rsidRPr="00616B9D">
              <w:rPr>
                <w:rFonts w:asciiTheme="majorBidi" w:hAnsiTheme="majorBidi" w:cstheme="majorBidi"/>
                <w:lang w:val="en-ID"/>
              </w:rPr>
              <w:t xml:space="preserve">Kuantitatif dengan pendekatan </w:t>
            </w:r>
            <w:r w:rsidRPr="00616B9D">
              <w:rPr>
                <w:rFonts w:asciiTheme="majorBidi" w:hAnsiTheme="majorBidi" w:cstheme="majorBidi"/>
                <w:i/>
                <w:iCs/>
                <w:lang w:val="en-ID"/>
              </w:rPr>
              <w:t>crossectional</w:t>
            </w:r>
          </w:p>
        </w:tc>
        <w:tc>
          <w:tcPr>
            <w:tcW w:w="5812" w:type="dxa"/>
          </w:tcPr>
          <w:p w14:paraId="225B761E" w14:textId="095C8DFA" w:rsidR="004D4524" w:rsidRPr="00616B9D" w:rsidRDefault="00CA5161" w:rsidP="004D4524">
            <w:pPr>
              <w:snapToGrid w:val="0"/>
              <w:jc w:val="both"/>
              <w:rPr>
                <w:rFonts w:asciiTheme="majorBidi" w:hAnsiTheme="majorBidi" w:cstheme="majorBidi"/>
                <w:lang w:val="en-ID"/>
              </w:rPr>
            </w:pPr>
            <w:r w:rsidRPr="00616B9D">
              <w:rPr>
                <w:rFonts w:asciiTheme="majorBidi" w:hAnsiTheme="majorBidi" w:cstheme="majorBidi"/>
                <w:lang w:val="en-ID"/>
              </w:rPr>
              <w:t>Seroprevalensi campak secara keseluruhan adalah 78,5%. Seroprevalensi campak menurut provinsi berkisar antara 59,6 % sampai dengan 93,1 %. Kecenderungan penurunan seroprevalensi pada kohort yang lebih muda meskipun cakupan imunisasi meningkat ditemukan. Seroprevalensi yang lebih rendah daripada cakupan vaksinasi diamati pada kelompok usia termuda</w:t>
            </w:r>
            <w:r w:rsidRPr="00616B9D">
              <w:rPr>
                <w:rFonts w:asciiTheme="majorBidi" w:hAnsiTheme="majorBidi" w:cstheme="majorBidi"/>
                <w:lang w:val="en-ID"/>
              </w:rPr>
              <w:t>.</w:t>
            </w:r>
          </w:p>
        </w:tc>
      </w:tr>
      <w:tr w:rsidR="004D4524" w:rsidRPr="003B5A55" w14:paraId="7D945718" w14:textId="77777777" w:rsidTr="00616B9D">
        <w:trPr>
          <w:trHeight w:val="76"/>
        </w:trPr>
        <w:tc>
          <w:tcPr>
            <w:tcW w:w="485" w:type="dxa"/>
          </w:tcPr>
          <w:p w14:paraId="088B9ADA" w14:textId="63DC8B13"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17</w:t>
            </w:r>
          </w:p>
        </w:tc>
        <w:tc>
          <w:tcPr>
            <w:tcW w:w="3667" w:type="dxa"/>
          </w:tcPr>
          <w:p w14:paraId="6EC04E0C" w14:textId="4A5EC2B7" w:rsidR="004D4524" w:rsidRPr="00616B9D" w:rsidRDefault="00CA5161"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Parents’ hesitancy towards vaccination in Indonesia: A cross-sectional study in Indonesia</w:t>
            </w:r>
          </w:p>
        </w:tc>
        <w:tc>
          <w:tcPr>
            <w:tcW w:w="1979" w:type="dxa"/>
          </w:tcPr>
          <w:p w14:paraId="627F0CAE" w14:textId="0CAA9C2A" w:rsidR="004D4524" w:rsidRPr="00616B9D" w:rsidRDefault="00CA5161"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Amanda Yufik</w:t>
            </w:r>
            <w:r w:rsidRPr="00616B9D">
              <w:rPr>
                <w:rFonts w:asciiTheme="majorBidi" w:hAnsiTheme="majorBidi" w:cstheme="majorBidi"/>
                <w:lang w:val="en-ID"/>
              </w:rPr>
              <w:t>a dkk (2020)</w:t>
            </w:r>
          </w:p>
        </w:tc>
        <w:tc>
          <w:tcPr>
            <w:tcW w:w="2091" w:type="dxa"/>
          </w:tcPr>
          <w:p w14:paraId="3F1665D3" w14:textId="4852C5F2" w:rsidR="004D4524" w:rsidRPr="00616B9D" w:rsidRDefault="00CA5161" w:rsidP="004D4524">
            <w:pPr>
              <w:snapToGrid w:val="0"/>
              <w:jc w:val="both"/>
              <w:rPr>
                <w:rFonts w:asciiTheme="majorBidi" w:hAnsiTheme="majorBidi" w:cstheme="majorBidi"/>
                <w:lang w:val="en-ID"/>
              </w:rPr>
            </w:pPr>
            <w:r w:rsidRPr="00616B9D">
              <w:rPr>
                <w:rFonts w:asciiTheme="majorBidi" w:hAnsiTheme="majorBidi" w:cstheme="majorBidi"/>
                <w:lang w:val="en-ID"/>
              </w:rPr>
              <w:t xml:space="preserve">Kuantitatif dengan pendekatan </w:t>
            </w:r>
            <w:r w:rsidRPr="00616B9D">
              <w:rPr>
                <w:rFonts w:asciiTheme="majorBidi" w:hAnsiTheme="majorBidi" w:cstheme="majorBidi"/>
                <w:i/>
                <w:iCs/>
                <w:lang w:val="en-ID"/>
              </w:rPr>
              <w:t>crossectional</w:t>
            </w:r>
          </w:p>
        </w:tc>
        <w:tc>
          <w:tcPr>
            <w:tcW w:w="5812" w:type="dxa"/>
          </w:tcPr>
          <w:p w14:paraId="594D17BB" w14:textId="5760D8B4" w:rsidR="004D4524" w:rsidRPr="00616B9D" w:rsidRDefault="00075F20" w:rsidP="004D4524">
            <w:pPr>
              <w:snapToGrid w:val="0"/>
              <w:jc w:val="both"/>
              <w:rPr>
                <w:rFonts w:asciiTheme="majorBidi" w:hAnsiTheme="majorBidi" w:cstheme="majorBidi"/>
                <w:lang w:val="en-ID"/>
              </w:rPr>
            </w:pPr>
            <w:r w:rsidRPr="00616B9D">
              <w:rPr>
                <w:rFonts w:asciiTheme="majorBidi" w:hAnsiTheme="majorBidi" w:cstheme="majorBidi"/>
                <w:lang w:val="en-ID"/>
              </w:rPr>
              <w:t>Secara keseluruhan, 152 orang tua (15,9%) ragu-ragu vaksin, dan proporsi ini adalah yang tertinggi di subdomain keamanan dan kemanjuran (61,6%)</w:t>
            </w:r>
            <w:r w:rsidRPr="00616B9D">
              <w:rPr>
                <w:rFonts w:asciiTheme="majorBidi" w:hAnsiTheme="majorBidi" w:cstheme="majorBidi"/>
                <w:lang w:val="en-ID"/>
              </w:rPr>
              <w:t>.</w:t>
            </w:r>
          </w:p>
        </w:tc>
      </w:tr>
      <w:tr w:rsidR="004D4524" w:rsidRPr="003B5A55" w14:paraId="6C8F5FF7" w14:textId="77777777" w:rsidTr="00616B9D">
        <w:trPr>
          <w:trHeight w:val="76"/>
        </w:trPr>
        <w:tc>
          <w:tcPr>
            <w:tcW w:w="485" w:type="dxa"/>
          </w:tcPr>
          <w:p w14:paraId="3EDE1EB7" w14:textId="374452D7"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18</w:t>
            </w:r>
          </w:p>
        </w:tc>
        <w:tc>
          <w:tcPr>
            <w:tcW w:w="3667" w:type="dxa"/>
          </w:tcPr>
          <w:p w14:paraId="6A4D3B01" w14:textId="4DB24BA2" w:rsidR="004D4524" w:rsidRPr="00616B9D" w:rsidRDefault="00580491"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Under-vaccinated groups in Europe and their beliefs, attitudes and reasons for non-vaccination; two systematic reviews</w:t>
            </w:r>
          </w:p>
        </w:tc>
        <w:tc>
          <w:tcPr>
            <w:tcW w:w="1979" w:type="dxa"/>
          </w:tcPr>
          <w:p w14:paraId="2FDD7E1D" w14:textId="64C0508B" w:rsidR="004D4524" w:rsidRPr="00616B9D" w:rsidRDefault="0099470F"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N. Fournet</w:t>
            </w:r>
            <w:r w:rsidRPr="00616B9D">
              <w:rPr>
                <w:rFonts w:asciiTheme="majorBidi" w:hAnsiTheme="majorBidi" w:cstheme="majorBidi"/>
                <w:lang w:val="en-ID"/>
              </w:rPr>
              <w:t xml:space="preserve"> dkk (2018)</w:t>
            </w:r>
          </w:p>
        </w:tc>
        <w:tc>
          <w:tcPr>
            <w:tcW w:w="2091" w:type="dxa"/>
          </w:tcPr>
          <w:p w14:paraId="5F3BF5D3" w14:textId="57F7C7E0" w:rsidR="004D4524" w:rsidRPr="00616B9D" w:rsidRDefault="0099470F" w:rsidP="004D4524">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1A5290F2" w14:textId="505E1704" w:rsidR="004D4524" w:rsidRPr="00616B9D" w:rsidRDefault="0099470F" w:rsidP="004D4524">
            <w:pPr>
              <w:snapToGrid w:val="0"/>
              <w:jc w:val="both"/>
              <w:rPr>
                <w:rFonts w:asciiTheme="majorBidi" w:hAnsiTheme="majorBidi" w:cstheme="majorBidi"/>
                <w:lang w:val="en-ID"/>
              </w:rPr>
            </w:pPr>
            <w:r w:rsidRPr="00616B9D">
              <w:rPr>
                <w:rFonts w:asciiTheme="majorBidi" w:hAnsiTheme="majorBidi" w:cstheme="majorBidi"/>
                <w:lang w:val="en-ID"/>
              </w:rPr>
              <w:t>K</w:t>
            </w:r>
            <w:r w:rsidRPr="00616B9D">
              <w:rPr>
                <w:rFonts w:asciiTheme="majorBidi" w:hAnsiTheme="majorBidi" w:cstheme="majorBidi"/>
                <w:lang w:val="en-ID"/>
              </w:rPr>
              <w:t>omunitas Protestan Ortodoks, Antroposofis, Roma, Pelancong Irlandia, dan komunitas Yahudi Ortodoks</w:t>
            </w:r>
            <w:r w:rsidRPr="00616B9D">
              <w:rPr>
                <w:rFonts w:asciiTheme="majorBidi" w:hAnsiTheme="majorBidi" w:cstheme="majorBidi"/>
                <w:lang w:val="en-ID"/>
              </w:rPr>
              <w:t xml:space="preserve"> menolak adanya vaksin</w:t>
            </w:r>
            <w:r w:rsidRPr="00616B9D">
              <w:rPr>
                <w:rFonts w:asciiTheme="majorBidi" w:hAnsiTheme="majorBidi" w:cstheme="majorBidi"/>
                <w:lang w:val="en-ID"/>
              </w:rPr>
              <w:t>. Faktor utama yang dilaporkan mengenai vaksinasi adalah persepsi tidak beratnya penyakit tradisional “masa kanak-kanak”, ketakutan akan efek samping vaksin, dan kebutuhan akan informasi lebih lanjut tentang misalnya risiko vaksinasi</w:t>
            </w:r>
            <w:r w:rsidRPr="00616B9D">
              <w:rPr>
                <w:rFonts w:asciiTheme="majorBidi" w:hAnsiTheme="majorBidi" w:cstheme="majorBidi"/>
                <w:lang w:val="en-ID"/>
              </w:rPr>
              <w:t>.</w:t>
            </w:r>
          </w:p>
        </w:tc>
      </w:tr>
      <w:tr w:rsidR="004D4524" w:rsidRPr="003B5A55" w14:paraId="369E2269" w14:textId="77777777" w:rsidTr="00616B9D">
        <w:trPr>
          <w:trHeight w:val="76"/>
        </w:trPr>
        <w:tc>
          <w:tcPr>
            <w:tcW w:w="485" w:type="dxa"/>
          </w:tcPr>
          <w:p w14:paraId="53616E95" w14:textId="2AA9EE1A"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19</w:t>
            </w:r>
          </w:p>
        </w:tc>
        <w:tc>
          <w:tcPr>
            <w:tcW w:w="3667" w:type="dxa"/>
          </w:tcPr>
          <w:p w14:paraId="5BDC1AAD" w14:textId="5A311F84" w:rsidR="004D4524" w:rsidRPr="00616B9D" w:rsidRDefault="0099470F"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Vaccine Rejection and Hesitancy: A Review and Call to Action</w:t>
            </w:r>
          </w:p>
        </w:tc>
        <w:tc>
          <w:tcPr>
            <w:tcW w:w="1979" w:type="dxa"/>
          </w:tcPr>
          <w:p w14:paraId="25F842CE" w14:textId="1192D238" w:rsidR="004D4524" w:rsidRPr="00616B9D" w:rsidRDefault="0099470F"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Tara C. Smith</w:t>
            </w:r>
            <w:r w:rsidRPr="00616B9D">
              <w:rPr>
                <w:rFonts w:asciiTheme="majorBidi" w:hAnsiTheme="majorBidi" w:cstheme="majorBidi"/>
                <w:lang w:val="en-ID"/>
              </w:rPr>
              <w:t xml:space="preserve"> (2017)</w:t>
            </w:r>
          </w:p>
        </w:tc>
        <w:tc>
          <w:tcPr>
            <w:tcW w:w="2091" w:type="dxa"/>
          </w:tcPr>
          <w:p w14:paraId="40279827" w14:textId="465F3DCB" w:rsidR="004D4524" w:rsidRPr="00616B9D" w:rsidRDefault="0099470F" w:rsidP="004D4524">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4A04D64D" w14:textId="399D32A7" w:rsidR="004D4524" w:rsidRPr="00616B9D" w:rsidRDefault="00B133F5" w:rsidP="004D4524">
            <w:pPr>
              <w:snapToGrid w:val="0"/>
              <w:jc w:val="both"/>
              <w:rPr>
                <w:rFonts w:asciiTheme="majorBidi" w:hAnsiTheme="majorBidi" w:cstheme="majorBidi"/>
                <w:lang w:val="en-ID"/>
              </w:rPr>
            </w:pPr>
            <w:r w:rsidRPr="00616B9D">
              <w:rPr>
                <w:rFonts w:asciiTheme="majorBidi" w:hAnsiTheme="majorBidi" w:cstheme="majorBidi"/>
                <w:lang w:val="en-ID"/>
              </w:rPr>
              <w:t>Penolakan vaksin telah menjadi cerita yang berulang di media selama lebih dari satu dekade</w:t>
            </w:r>
            <w:r w:rsidRPr="00616B9D">
              <w:rPr>
                <w:rFonts w:asciiTheme="majorBidi" w:hAnsiTheme="majorBidi" w:cstheme="majorBidi"/>
                <w:lang w:val="en-ID"/>
              </w:rPr>
              <w:t xml:space="preserve">. </w:t>
            </w:r>
            <w:r w:rsidRPr="00616B9D">
              <w:rPr>
                <w:rFonts w:asciiTheme="majorBidi" w:hAnsiTheme="majorBidi" w:cstheme="majorBidi"/>
                <w:lang w:val="en-ID"/>
              </w:rPr>
              <w:t>Para ilmuwan, enggan memikirkan masalah tanpa membawa nuansa abu-abu sedangkan para pemimpin pemikiran vaksin sering kali mengungkapkan pemikiran hitam-putih yang ketat</w:t>
            </w:r>
            <w:r w:rsidRPr="00616B9D">
              <w:rPr>
                <w:rFonts w:asciiTheme="majorBidi" w:hAnsiTheme="majorBidi" w:cstheme="majorBidi"/>
                <w:lang w:val="en-ID"/>
              </w:rPr>
              <w:t>.</w:t>
            </w:r>
          </w:p>
        </w:tc>
      </w:tr>
      <w:tr w:rsidR="004D4524" w:rsidRPr="003B5A55" w14:paraId="29BFA700" w14:textId="77777777" w:rsidTr="00616B9D">
        <w:trPr>
          <w:trHeight w:val="76"/>
        </w:trPr>
        <w:tc>
          <w:tcPr>
            <w:tcW w:w="485" w:type="dxa"/>
          </w:tcPr>
          <w:p w14:paraId="6B9AF933" w14:textId="7DD16739"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20</w:t>
            </w:r>
          </w:p>
        </w:tc>
        <w:tc>
          <w:tcPr>
            <w:tcW w:w="3667" w:type="dxa"/>
          </w:tcPr>
          <w:p w14:paraId="3356F850" w14:textId="7BF5E001" w:rsidR="004D4524" w:rsidRPr="00616B9D" w:rsidRDefault="00565D96"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HPV vaccination in a context of public mistrust and uncertainty: a systematic literature review of determinants of HPV vaccine hesitancy in Europe</w:t>
            </w:r>
          </w:p>
        </w:tc>
        <w:tc>
          <w:tcPr>
            <w:tcW w:w="1979" w:type="dxa"/>
          </w:tcPr>
          <w:p w14:paraId="2A80E65D" w14:textId="7E02D4B9" w:rsidR="004D4524" w:rsidRPr="00616B9D" w:rsidRDefault="00565D96"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Emilie Karafillakis</w:t>
            </w:r>
            <w:r w:rsidRPr="00616B9D">
              <w:rPr>
                <w:rFonts w:asciiTheme="majorBidi" w:hAnsiTheme="majorBidi" w:cstheme="majorBidi"/>
                <w:lang w:val="en-ID"/>
              </w:rPr>
              <w:t xml:space="preserve"> (2019)</w:t>
            </w:r>
          </w:p>
        </w:tc>
        <w:tc>
          <w:tcPr>
            <w:tcW w:w="2091" w:type="dxa"/>
          </w:tcPr>
          <w:p w14:paraId="2E123456" w14:textId="307E5315" w:rsidR="004D4524" w:rsidRPr="00616B9D" w:rsidRDefault="00565D96" w:rsidP="004D4524">
            <w:pPr>
              <w:snapToGrid w:val="0"/>
              <w:jc w:val="both"/>
              <w:rPr>
                <w:rFonts w:asciiTheme="majorBidi" w:hAnsiTheme="majorBidi" w:cstheme="majorBidi"/>
                <w:lang w:val="en-ID"/>
              </w:rPr>
            </w:pPr>
            <w:r w:rsidRPr="00616B9D">
              <w:rPr>
                <w:rFonts w:asciiTheme="majorBidi" w:hAnsiTheme="majorBidi" w:cstheme="majorBidi"/>
                <w:lang w:val="en-ID"/>
              </w:rPr>
              <w:t>S</w:t>
            </w:r>
            <w:r w:rsidR="00EF6C7C" w:rsidRPr="00616B9D">
              <w:rPr>
                <w:rFonts w:asciiTheme="majorBidi" w:hAnsiTheme="majorBidi" w:cstheme="majorBidi"/>
                <w:lang w:val="en-ID"/>
              </w:rPr>
              <w:t>i</w:t>
            </w:r>
            <w:r w:rsidRPr="00616B9D">
              <w:rPr>
                <w:rFonts w:asciiTheme="majorBidi" w:hAnsiTheme="majorBidi" w:cstheme="majorBidi"/>
                <w:lang w:val="en-ID"/>
              </w:rPr>
              <w:t>stematika Review</w:t>
            </w:r>
          </w:p>
        </w:tc>
        <w:tc>
          <w:tcPr>
            <w:tcW w:w="5812" w:type="dxa"/>
          </w:tcPr>
          <w:p w14:paraId="0B6E83B6" w14:textId="3589485F" w:rsidR="004D4524" w:rsidRPr="00616B9D" w:rsidRDefault="007C07A8" w:rsidP="004D4524">
            <w:pPr>
              <w:snapToGrid w:val="0"/>
              <w:jc w:val="both"/>
              <w:rPr>
                <w:rFonts w:asciiTheme="majorBidi" w:hAnsiTheme="majorBidi" w:cstheme="majorBidi"/>
                <w:lang w:val="en-ID"/>
              </w:rPr>
            </w:pPr>
            <w:r w:rsidRPr="00616B9D">
              <w:rPr>
                <w:rFonts w:asciiTheme="majorBidi" w:hAnsiTheme="majorBidi" w:cstheme="majorBidi"/>
                <w:lang w:val="en-ID"/>
              </w:rPr>
              <w:t>Kepercayaan terhadap vaksinasi HPV saat ini sedang terguncang di banyak negara Eropa, yang dampaknya ditunjukkan dengan rendahnya dan/atau menurunnya tingkat cakupan</w:t>
            </w:r>
            <w:r w:rsidRPr="00616B9D">
              <w:rPr>
                <w:rFonts w:asciiTheme="majorBidi" w:hAnsiTheme="majorBidi" w:cstheme="majorBidi"/>
                <w:lang w:val="en-ID"/>
              </w:rPr>
              <w:t>.</w:t>
            </w:r>
          </w:p>
        </w:tc>
      </w:tr>
      <w:tr w:rsidR="004D4524" w:rsidRPr="003B5A55" w14:paraId="653DD503" w14:textId="77777777" w:rsidTr="00616B9D">
        <w:trPr>
          <w:trHeight w:val="76"/>
        </w:trPr>
        <w:tc>
          <w:tcPr>
            <w:tcW w:w="485" w:type="dxa"/>
          </w:tcPr>
          <w:p w14:paraId="38766239" w14:textId="5F38E5DF"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21</w:t>
            </w:r>
          </w:p>
        </w:tc>
        <w:tc>
          <w:tcPr>
            <w:tcW w:w="3667" w:type="dxa"/>
          </w:tcPr>
          <w:p w14:paraId="30A2F987" w14:textId="4454E256" w:rsidR="004D4524" w:rsidRPr="00616B9D" w:rsidRDefault="00EF6C7C"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Rejection and management in vaccinations: its chiaroscuro</w:t>
            </w:r>
          </w:p>
        </w:tc>
        <w:tc>
          <w:tcPr>
            <w:tcW w:w="1979" w:type="dxa"/>
          </w:tcPr>
          <w:p w14:paraId="36CC9B08" w14:textId="69D8EDA7" w:rsidR="00EF6C7C" w:rsidRPr="00616B9D" w:rsidRDefault="00EF6C7C" w:rsidP="00EF6C7C">
            <w:pPr>
              <w:pStyle w:val="ListParagraph"/>
              <w:tabs>
                <w:tab w:val="left" w:pos="854"/>
              </w:tabs>
              <w:snapToGrid w:val="0"/>
              <w:spacing w:after="0" w:line="240" w:lineRule="auto"/>
              <w:ind w:left="0"/>
              <w:rPr>
                <w:rFonts w:asciiTheme="majorBidi" w:hAnsiTheme="majorBidi" w:cstheme="majorBidi"/>
                <w:lang w:val="en-ID"/>
              </w:rPr>
            </w:pPr>
            <w:r w:rsidRPr="00616B9D">
              <w:rPr>
                <w:rFonts w:asciiTheme="majorBidi" w:hAnsiTheme="majorBidi" w:cstheme="majorBidi"/>
                <w:lang w:val="en-ID"/>
              </w:rPr>
              <w:t>María Hortal</w:t>
            </w:r>
            <w:r w:rsidRPr="00616B9D">
              <w:rPr>
                <w:rFonts w:asciiTheme="majorBidi" w:hAnsiTheme="majorBidi" w:cstheme="majorBidi"/>
                <w:lang w:val="en-ID"/>
              </w:rPr>
              <w:t xml:space="preserve"> dan</w:t>
            </w:r>
          </w:p>
          <w:p w14:paraId="774B7B31" w14:textId="03029822" w:rsidR="004D4524" w:rsidRPr="00616B9D" w:rsidRDefault="00EF6C7C" w:rsidP="00EF6C7C">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y José Luis Di Fabio</w:t>
            </w:r>
            <w:r w:rsidR="006B6027" w:rsidRPr="00616B9D">
              <w:rPr>
                <w:rFonts w:asciiTheme="majorBidi" w:hAnsiTheme="majorBidi" w:cstheme="majorBidi"/>
                <w:lang w:val="en-ID"/>
              </w:rPr>
              <w:t xml:space="preserve"> (2019)</w:t>
            </w:r>
          </w:p>
        </w:tc>
        <w:tc>
          <w:tcPr>
            <w:tcW w:w="2091" w:type="dxa"/>
          </w:tcPr>
          <w:p w14:paraId="25C20E20" w14:textId="5622DE7B" w:rsidR="004D4524" w:rsidRPr="00616B9D" w:rsidRDefault="00EF6C7C" w:rsidP="004D4524">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20A496E7" w14:textId="58E0D25F" w:rsidR="004D4524" w:rsidRPr="00616B9D" w:rsidRDefault="00616B9D" w:rsidP="004D4524">
            <w:pPr>
              <w:snapToGrid w:val="0"/>
              <w:jc w:val="both"/>
              <w:rPr>
                <w:rFonts w:asciiTheme="majorBidi" w:hAnsiTheme="majorBidi" w:cstheme="majorBidi"/>
                <w:lang w:val="en-ID"/>
              </w:rPr>
            </w:pPr>
            <w:r>
              <w:rPr>
                <w:rFonts w:asciiTheme="majorBidi" w:hAnsiTheme="majorBidi" w:cstheme="majorBidi"/>
                <w:lang w:val="en-ID"/>
              </w:rPr>
              <w:t>F</w:t>
            </w:r>
            <w:r w:rsidR="00EF6C7C" w:rsidRPr="00616B9D">
              <w:rPr>
                <w:rFonts w:asciiTheme="majorBidi" w:hAnsiTheme="majorBidi" w:cstheme="majorBidi"/>
                <w:lang w:val="en-ID"/>
              </w:rPr>
              <w:t xml:space="preserve">aktor yang terlibat dalam penolakan vaksin secara umum karena tindakan kelompok anti-vaksin dan kesalahan informasi yang salah ditunjukkan. Di beberapa negara, keterlambatan </w:t>
            </w:r>
            <w:r w:rsidR="00EF6C7C" w:rsidRPr="00616B9D">
              <w:rPr>
                <w:rFonts w:asciiTheme="majorBidi" w:hAnsiTheme="majorBidi" w:cstheme="majorBidi"/>
                <w:lang w:val="en-ID"/>
              </w:rPr>
              <w:lastRenderedPageBreak/>
              <w:t>pemenuhan jadwal imunisasi ditambahkan karena kemungkinan kegagalan dalam pengelolaan program</w:t>
            </w:r>
            <w:r w:rsidR="00EF6C7C" w:rsidRPr="00616B9D">
              <w:rPr>
                <w:rFonts w:asciiTheme="majorBidi" w:hAnsiTheme="majorBidi" w:cstheme="majorBidi"/>
                <w:lang w:val="en-ID"/>
              </w:rPr>
              <w:t>.</w:t>
            </w:r>
          </w:p>
        </w:tc>
      </w:tr>
      <w:tr w:rsidR="004D4524" w:rsidRPr="003B5A55" w14:paraId="00320E97" w14:textId="77777777" w:rsidTr="00616B9D">
        <w:trPr>
          <w:trHeight w:val="76"/>
        </w:trPr>
        <w:tc>
          <w:tcPr>
            <w:tcW w:w="485" w:type="dxa"/>
          </w:tcPr>
          <w:p w14:paraId="1021BDAB" w14:textId="7ABC87C0"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lastRenderedPageBreak/>
              <w:t>22</w:t>
            </w:r>
          </w:p>
        </w:tc>
        <w:tc>
          <w:tcPr>
            <w:tcW w:w="3667" w:type="dxa"/>
          </w:tcPr>
          <w:p w14:paraId="7975F9F9" w14:textId="147A2AF6" w:rsidR="004D4524" w:rsidRPr="00616B9D" w:rsidRDefault="006B6027"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Qualitative Assessment of Vaccine Hesitancy in Romania</w:t>
            </w:r>
          </w:p>
        </w:tc>
        <w:tc>
          <w:tcPr>
            <w:tcW w:w="1979" w:type="dxa"/>
          </w:tcPr>
          <w:p w14:paraId="3E03AFC8" w14:textId="5797D653" w:rsidR="004D4524" w:rsidRPr="00616B9D" w:rsidRDefault="006B6027"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rPr>
              <w:t>David Miko</w:t>
            </w:r>
            <w:r w:rsidRPr="00616B9D">
              <w:rPr>
                <w:rFonts w:asciiTheme="majorBidi" w:hAnsiTheme="majorBidi" w:cstheme="majorBidi"/>
                <w:lang w:val="en-ID"/>
              </w:rPr>
              <w:t xml:space="preserve"> dkk (2019)</w:t>
            </w:r>
          </w:p>
        </w:tc>
        <w:tc>
          <w:tcPr>
            <w:tcW w:w="2091" w:type="dxa"/>
          </w:tcPr>
          <w:p w14:paraId="2E7B5BE8" w14:textId="6BBE431D" w:rsidR="004D4524" w:rsidRPr="00616B9D" w:rsidRDefault="00092974" w:rsidP="00092974">
            <w:pPr>
              <w:snapToGrid w:val="0"/>
              <w:jc w:val="both"/>
              <w:rPr>
                <w:rFonts w:asciiTheme="majorBidi" w:hAnsiTheme="majorBidi" w:cstheme="majorBidi"/>
                <w:lang w:val="en-ID"/>
              </w:rPr>
            </w:pPr>
            <w:r w:rsidRPr="00616B9D">
              <w:rPr>
                <w:rFonts w:asciiTheme="majorBidi" w:hAnsiTheme="majorBidi" w:cstheme="majorBidi"/>
                <w:lang w:val="en-ID"/>
              </w:rPr>
              <w:t xml:space="preserve">Kuantitatif observasional analitik pendekatan </w:t>
            </w:r>
            <w:r w:rsidRPr="00616B9D">
              <w:rPr>
                <w:rFonts w:asciiTheme="majorBidi" w:hAnsiTheme="majorBidi" w:cstheme="majorBidi"/>
                <w:i/>
                <w:iCs/>
                <w:lang w:val="en-ID"/>
              </w:rPr>
              <w:t>crossectional</w:t>
            </w:r>
            <w:r w:rsidRPr="00616B9D">
              <w:rPr>
                <w:rFonts w:asciiTheme="majorBidi" w:hAnsiTheme="majorBidi" w:cstheme="majorBidi"/>
                <w:i/>
                <w:iCs/>
                <w:lang w:val="en-ID"/>
              </w:rPr>
              <w:t xml:space="preserve"> </w:t>
            </w:r>
            <w:r w:rsidRPr="00616B9D">
              <w:rPr>
                <w:rFonts w:asciiTheme="majorBidi" w:hAnsiTheme="majorBidi" w:cstheme="majorBidi"/>
                <w:lang w:val="en-ID"/>
              </w:rPr>
              <w:t>dan analisis deskriptif kualitatif</w:t>
            </w:r>
          </w:p>
        </w:tc>
        <w:tc>
          <w:tcPr>
            <w:tcW w:w="5812" w:type="dxa"/>
          </w:tcPr>
          <w:p w14:paraId="4D819B5D" w14:textId="43F366DF" w:rsidR="004D4524" w:rsidRPr="00616B9D" w:rsidRDefault="00092974" w:rsidP="004D4524">
            <w:pPr>
              <w:snapToGrid w:val="0"/>
              <w:jc w:val="both"/>
              <w:rPr>
                <w:rFonts w:asciiTheme="majorBidi" w:hAnsiTheme="majorBidi" w:cstheme="majorBidi"/>
                <w:lang w:val="en-ID"/>
              </w:rPr>
            </w:pPr>
            <w:r w:rsidRPr="00616B9D">
              <w:rPr>
                <w:rFonts w:asciiTheme="majorBidi" w:hAnsiTheme="majorBidi" w:cstheme="majorBidi"/>
                <w:lang w:val="en-ID"/>
              </w:rPr>
              <w:t>Penolakan vaksin sebanyak</w:t>
            </w:r>
            <w:r w:rsidRPr="00616B9D">
              <w:rPr>
                <w:rFonts w:asciiTheme="majorBidi" w:hAnsiTheme="majorBidi" w:cstheme="majorBidi"/>
                <w:lang w:val="en-ID"/>
              </w:rPr>
              <w:t xml:space="preserve"> 30,3% dan 11,7% orang tua melaporkan menolak untuk memvaksinasi anak mereka. Di antara penanggap </w:t>
            </w:r>
            <w:r w:rsidRPr="00616B9D">
              <w:rPr>
                <w:rFonts w:asciiTheme="majorBidi" w:hAnsiTheme="majorBidi" w:cstheme="majorBidi"/>
                <w:lang w:val="en-ID"/>
              </w:rPr>
              <w:t>penolakan vaksin</w:t>
            </w:r>
            <w:r w:rsidRPr="00616B9D">
              <w:rPr>
                <w:rFonts w:asciiTheme="majorBidi" w:hAnsiTheme="majorBidi" w:cstheme="majorBidi"/>
                <w:lang w:val="en-ID"/>
              </w:rPr>
              <w:t xml:space="preserve">, vaksin varicella menghasilkan 35% keraguan, vaksin campak 27,7%, Human Papillomavirus (HPV) 24,1%, dan vaksin gondok 23,4%, masing-masing. </w:t>
            </w:r>
          </w:p>
        </w:tc>
      </w:tr>
      <w:tr w:rsidR="004D4524" w:rsidRPr="003B5A55" w14:paraId="3C39021B" w14:textId="77777777" w:rsidTr="00616B9D">
        <w:trPr>
          <w:trHeight w:val="76"/>
        </w:trPr>
        <w:tc>
          <w:tcPr>
            <w:tcW w:w="485" w:type="dxa"/>
          </w:tcPr>
          <w:p w14:paraId="1B665521" w14:textId="711C6B87"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23</w:t>
            </w:r>
          </w:p>
        </w:tc>
        <w:tc>
          <w:tcPr>
            <w:tcW w:w="3667" w:type="dxa"/>
          </w:tcPr>
          <w:p w14:paraId="3FDC9527" w14:textId="0385C1B8" w:rsidR="004D4524" w:rsidRPr="00616B9D" w:rsidRDefault="00092974"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Strategies implemented to address vaccine hesitancy in France: A review article</w:t>
            </w:r>
          </w:p>
        </w:tc>
        <w:tc>
          <w:tcPr>
            <w:tcW w:w="1979" w:type="dxa"/>
          </w:tcPr>
          <w:p w14:paraId="0C52C9F2" w14:textId="5A826404" w:rsidR="004D4524" w:rsidRPr="00616B9D" w:rsidRDefault="00092974"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C?ecile Fokoun</w:t>
            </w:r>
            <w:r w:rsidRPr="00616B9D">
              <w:rPr>
                <w:rFonts w:asciiTheme="majorBidi" w:hAnsiTheme="majorBidi" w:cstheme="majorBidi"/>
                <w:lang w:val="en-ID"/>
              </w:rPr>
              <w:t xml:space="preserve"> (2018)</w:t>
            </w:r>
          </w:p>
        </w:tc>
        <w:tc>
          <w:tcPr>
            <w:tcW w:w="2091" w:type="dxa"/>
          </w:tcPr>
          <w:p w14:paraId="5F19F50C" w14:textId="10F82AAF" w:rsidR="004D4524" w:rsidRPr="00616B9D" w:rsidRDefault="00092974" w:rsidP="004D4524">
            <w:pPr>
              <w:snapToGrid w:val="0"/>
              <w:jc w:val="both"/>
              <w:rPr>
                <w:rFonts w:asciiTheme="majorBidi" w:hAnsiTheme="majorBidi" w:cstheme="majorBidi"/>
                <w:lang w:val="en-ID"/>
              </w:rPr>
            </w:pPr>
            <w:r w:rsidRPr="00616B9D">
              <w:rPr>
                <w:rFonts w:asciiTheme="majorBidi" w:hAnsiTheme="majorBidi" w:cstheme="majorBidi"/>
                <w:lang w:val="en-ID"/>
              </w:rPr>
              <w:t>Sistematika Review</w:t>
            </w:r>
          </w:p>
        </w:tc>
        <w:tc>
          <w:tcPr>
            <w:tcW w:w="5812" w:type="dxa"/>
          </w:tcPr>
          <w:p w14:paraId="01DAA6AE" w14:textId="4E3E1079" w:rsidR="004D4524" w:rsidRPr="00616B9D" w:rsidRDefault="00092974" w:rsidP="004D4524">
            <w:pPr>
              <w:snapToGrid w:val="0"/>
              <w:jc w:val="both"/>
              <w:rPr>
                <w:rFonts w:asciiTheme="majorBidi" w:hAnsiTheme="majorBidi" w:cstheme="majorBidi"/>
                <w:lang w:val="en-ID"/>
              </w:rPr>
            </w:pPr>
            <w:r w:rsidRPr="00616B9D">
              <w:rPr>
                <w:rFonts w:asciiTheme="majorBidi" w:hAnsiTheme="majorBidi" w:cstheme="majorBidi"/>
                <w:lang w:val="en-ID"/>
              </w:rPr>
              <w:t>D</w:t>
            </w:r>
            <w:r w:rsidRPr="00616B9D">
              <w:rPr>
                <w:rFonts w:asciiTheme="majorBidi" w:hAnsiTheme="majorBidi" w:cstheme="majorBidi"/>
                <w:lang w:val="en-ID"/>
              </w:rPr>
              <w:t>i Prancis, muncul keragu-raguan vaksin, yang menyebabkan penurunan tingkat cakupan vaksinasi</w:t>
            </w:r>
            <w:r w:rsidRPr="00616B9D">
              <w:rPr>
                <w:rFonts w:asciiTheme="majorBidi" w:hAnsiTheme="majorBidi" w:cstheme="majorBidi"/>
                <w:lang w:val="en-ID"/>
              </w:rPr>
              <w:t>. Terdapat perbedaan strategi dnegan tujuan dalam menanggulangi keraguan vaksin utamanya dalam kampanye vaksin.</w:t>
            </w:r>
          </w:p>
        </w:tc>
      </w:tr>
      <w:tr w:rsidR="004D4524" w:rsidRPr="003B5A55" w14:paraId="246D2D6A" w14:textId="77777777" w:rsidTr="00616B9D">
        <w:trPr>
          <w:trHeight w:val="76"/>
        </w:trPr>
        <w:tc>
          <w:tcPr>
            <w:tcW w:w="485" w:type="dxa"/>
          </w:tcPr>
          <w:p w14:paraId="721295AF" w14:textId="03DAD8FB" w:rsidR="004D4524" w:rsidRPr="00616B9D" w:rsidRDefault="00F4120C" w:rsidP="004D452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24</w:t>
            </w:r>
          </w:p>
        </w:tc>
        <w:tc>
          <w:tcPr>
            <w:tcW w:w="3667" w:type="dxa"/>
          </w:tcPr>
          <w:p w14:paraId="4E053D2E" w14:textId="14AF6966" w:rsidR="004D4524" w:rsidRPr="00616B9D" w:rsidRDefault="00BE23A1" w:rsidP="004D452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Vaccination as a cause of autism</w:t>
            </w:r>
            <w:r w:rsidR="007E7C14" w:rsidRPr="00616B9D">
              <w:rPr>
                <w:rFonts w:asciiTheme="majorBidi" w:hAnsiTheme="majorBidi" w:cstheme="majorBidi"/>
                <w:lang w:val="en-ID"/>
              </w:rPr>
              <w:t xml:space="preserve"> - </w:t>
            </w:r>
            <w:r w:rsidRPr="00616B9D">
              <w:rPr>
                <w:rFonts w:asciiTheme="majorBidi" w:hAnsiTheme="majorBidi" w:cstheme="majorBidi"/>
              </w:rPr>
              <w:t>myths and controversies</w:t>
            </w:r>
          </w:p>
        </w:tc>
        <w:tc>
          <w:tcPr>
            <w:tcW w:w="1979" w:type="dxa"/>
          </w:tcPr>
          <w:p w14:paraId="3A08E90D" w14:textId="6797BED7" w:rsidR="004D4524" w:rsidRPr="00616B9D" w:rsidRDefault="00BE23A1" w:rsidP="004D452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rPr>
              <w:t>Michael Davidson</w:t>
            </w:r>
            <w:r w:rsidRPr="00616B9D">
              <w:rPr>
                <w:rFonts w:asciiTheme="majorBidi" w:hAnsiTheme="majorBidi" w:cstheme="majorBidi"/>
                <w:lang w:val="en-ID"/>
              </w:rPr>
              <w:t xml:space="preserve"> (2017)</w:t>
            </w:r>
          </w:p>
        </w:tc>
        <w:tc>
          <w:tcPr>
            <w:tcW w:w="2091" w:type="dxa"/>
          </w:tcPr>
          <w:p w14:paraId="02E15B50" w14:textId="70FD34AC" w:rsidR="004D4524" w:rsidRPr="00616B9D" w:rsidRDefault="00BE23A1" w:rsidP="004D4524">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1A78B966" w14:textId="267774EA" w:rsidR="004D4524" w:rsidRPr="00616B9D" w:rsidRDefault="00BE23A1" w:rsidP="004D4524">
            <w:pPr>
              <w:snapToGrid w:val="0"/>
              <w:jc w:val="both"/>
              <w:rPr>
                <w:rFonts w:asciiTheme="majorBidi" w:hAnsiTheme="majorBidi" w:cstheme="majorBidi"/>
                <w:lang w:val="en-ID"/>
              </w:rPr>
            </w:pPr>
            <w:r w:rsidRPr="00616B9D">
              <w:rPr>
                <w:rFonts w:asciiTheme="majorBidi" w:hAnsiTheme="majorBidi" w:cstheme="majorBidi"/>
                <w:lang w:val="en-ID"/>
              </w:rPr>
              <w:t>Gerakan anti-vaksin tampaknya menjadi bagian dari tren ketidakpuasan dan ketidakpercayaan terhadap keunggulan bukti ilmiah atas kesan dan opini</w:t>
            </w:r>
            <w:r w:rsidRPr="00616B9D">
              <w:rPr>
                <w:rFonts w:asciiTheme="majorBidi" w:hAnsiTheme="majorBidi" w:cstheme="majorBidi"/>
                <w:lang w:val="en-ID"/>
              </w:rPr>
              <w:t>. K</w:t>
            </w:r>
            <w:r w:rsidRPr="00616B9D">
              <w:rPr>
                <w:rFonts w:asciiTheme="majorBidi" w:hAnsiTheme="majorBidi" w:cstheme="majorBidi"/>
                <w:lang w:val="en-ID"/>
              </w:rPr>
              <w:t>etidakpuasan tersebut adalah demokratisasi pengambilan keputusan terkait kesehatan di mana para pemangku kepentingan memiliki suara yang semakin kuat atas para ahli</w:t>
            </w:r>
            <w:r w:rsidRPr="00616B9D">
              <w:rPr>
                <w:rFonts w:asciiTheme="majorBidi" w:hAnsiTheme="majorBidi" w:cstheme="majorBidi"/>
                <w:lang w:val="en-ID"/>
              </w:rPr>
              <w:t xml:space="preserve">. </w:t>
            </w:r>
            <w:r w:rsidRPr="00616B9D">
              <w:rPr>
                <w:rFonts w:asciiTheme="majorBidi" w:hAnsiTheme="majorBidi" w:cstheme="majorBidi"/>
                <w:lang w:val="en-ID"/>
              </w:rPr>
              <w:t>Sementara demokratisasi pengambilan keputusan perawatan kesehatan didukung oleh kaum liberal dan konservatif.</w:t>
            </w:r>
          </w:p>
        </w:tc>
      </w:tr>
      <w:tr w:rsidR="007E7C14" w:rsidRPr="003B5A55" w14:paraId="6F90524E" w14:textId="77777777" w:rsidTr="00616B9D">
        <w:trPr>
          <w:trHeight w:val="76"/>
        </w:trPr>
        <w:tc>
          <w:tcPr>
            <w:tcW w:w="485" w:type="dxa"/>
          </w:tcPr>
          <w:p w14:paraId="0B73FE33" w14:textId="340073EC" w:rsidR="007E7C14" w:rsidRPr="00616B9D" w:rsidRDefault="00F4120C" w:rsidP="007E7C1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25</w:t>
            </w:r>
          </w:p>
        </w:tc>
        <w:tc>
          <w:tcPr>
            <w:tcW w:w="3667" w:type="dxa"/>
          </w:tcPr>
          <w:p w14:paraId="7BEB90F6" w14:textId="0AB4B372" w:rsidR="007E7C14" w:rsidRPr="00616B9D" w:rsidRDefault="007E7C14" w:rsidP="007E7C1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Vaccine refusal -</w:t>
            </w:r>
            <w:r w:rsidRPr="00616B9D">
              <w:rPr>
                <w:rFonts w:asciiTheme="majorBidi" w:hAnsiTheme="majorBidi" w:cstheme="majorBidi"/>
                <w:lang w:val="en-ID"/>
              </w:rPr>
              <w:t xml:space="preserve"> </w:t>
            </w:r>
            <w:r w:rsidRPr="00616B9D">
              <w:rPr>
                <w:rFonts w:asciiTheme="majorBidi" w:hAnsiTheme="majorBidi" w:cstheme="majorBidi"/>
              </w:rPr>
              <w:t>what we need to know</w:t>
            </w:r>
          </w:p>
        </w:tc>
        <w:tc>
          <w:tcPr>
            <w:tcW w:w="1979" w:type="dxa"/>
          </w:tcPr>
          <w:p w14:paraId="1725348A" w14:textId="5FCB957B" w:rsidR="007E7C14" w:rsidRPr="00616B9D" w:rsidRDefault="007E7C14" w:rsidP="007E7C1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Regina Célia de Menezes Succi</w:t>
            </w:r>
            <w:r w:rsidRPr="00616B9D">
              <w:rPr>
                <w:rFonts w:asciiTheme="majorBidi" w:hAnsiTheme="majorBidi" w:cstheme="majorBidi"/>
                <w:lang w:val="en-ID"/>
              </w:rPr>
              <w:t xml:space="preserve"> (2018)</w:t>
            </w:r>
          </w:p>
        </w:tc>
        <w:tc>
          <w:tcPr>
            <w:tcW w:w="2091" w:type="dxa"/>
          </w:tcPr>
          <w:p w14:paraId="095D5FB0" w14:textId="1956AC81" w:rsidR="007E7C14" w:rsidRPr="00616B9D" w:rsidRDefault="007E7C14" w:rsidP="007E7C14">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5E2C9656" w14:textId="29713C62" w:rsidR="007E7C14" w:rsidRPr="00616B9D" w:rsidRDefault="007E7C14" w:rsidP="007E7C14">
            <w:pPr>
              <w:snapToGrid w:val="0"/>
              <w:jc w:val="both"/>
              <w:rPr>
                <w:rFonts w:asciiTheme="majorBidi" w:hAnsiTheme="majorBidi" w:cstheme="majorBidi"/>
                <w:lang w:val="en-ID"/>
              </w:rPr>
            </w:pPr>
            <w:r w:rsidRPr="00616B9D">
              <w:rPr>
                <w:rFonts w:asciiTheme="majorBidi" w:hAnsiTheme="majorBidi" w:cstheme="majorBidi"/>
                <w:lang w:val="en-ID"/>
              </w:rPr>
              <w:t>P</w:t>
            </w:r>
            <w:r w:rsidRPr="00616B9D">
              <w:rPr>
                <w:rFonts w:asciiTheme="majorBidi" w:hAnsiTheme="majorBidi" w:cstheme="majorBidi"/>
                <w:lang w:val="en-ID"/>
              </w:rPr>
              <w:t>enyebab keraguan dan penolakan vaksin</w:t>
            </w:r>
            <w:r w:rsidR="00616B9D">
              <w:rPr>
                <w:rFonts w:asciiTheme="majorBidi" w:hAnsiTheme="majorBidi" w:cstheme="majorBidi"/>
                <w:lang w:val="en-ID"/>
              </w:rPr>
              <w:t xml:space="preserve"> terkait</w:t>
            </w:r>
            <w:r w:rsidRPr="00616B9D">
              <w:rPr>
                <w:rFonts w:asciiTheme="majorBidi" w:hAnsiTheme="majorBidi" w:cstheme="majorBidi"/>
                <w:lang w:val="en-ID"/>
              </w:rPr>
              <w:t xml:space="preserve"> perilaku keluarga dan profesional kesehatan. Proposal intervensi untuk mengurangi keraguan publik, memperjelas mitos, dan meningkatkan kepercayaan pada vaksin telah dibuat</w:t>
            </w:r>
            <w:r w:rsidRPr="00616B9D">
              <w:rPr>
                <w:rFonts w:asciiTheme="majorBidi" w:hAnsiTheme="majorBidi" w:cstheme="majorBidi"/>
                <w:lang w:val="en-ID"/>
              </w:rPr>
              <w:t>.</w:t>
            </w:r>
          </w:p>
        </w:tc>
      </w:tr>
      <w:tr w:rsidR="007E7C14" w:rsidRPr="003B5A55" w14:paraId="168060F6" w14:textId="77777777" w:rsidTr="00616B9D">
        <w:trPr>
          <w:trHeight w:val="76"/>
        </w:trPr>
        <w:tc>
          <w:tcPr>
            <w:tcW w:w="485" w:type="dxa"/>
          </w:tcPr>
          <w:p w14:paraId="0EB27E37" w14:textId="18407407" w:rsidR="007E7C14" w:rsidRPr="00616B9D" w:rsidRDefault="00F4120C" w:rsidP="007E7C14">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26</w:t>
            </w:r>
          </w:p>
        </w:tc>
        <w:tc>
          <w:tcPr>
            <w:tcW w:w="3667" w:type="dxa"/>
          </w:tcPr>
          <w:p w14:paraId="70A0AB77" w14:textId="72DA86FC" w:rsidR="007E7C14" w:rsidRPr="00616B9D" w:rsidRDefault="007E7C14" w:rsidP="007E7C14">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Association Between Vaccine Refusal and Vaccine-Preventable Diseases in the United States</w:t>
            </w:r>
          </w:p>
        </w:tc>
        <w:tc>
          <w:tcPr>
            <w:tcW w:w="1979" w:type="dxa"/>
          </w:tcPr>
          <w:p w14:paraId="5EDEE9DE" w14:textId="601EE2CB" w:rsidR="007E7C14" w:rsidRPr="00616B9D" w:rsidRDefault="007E7C14" w:rsidP="007E7C14">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rPr>
              <w:t>Varun K. Phadke</w:t>
            </w:r>
            <w:r w:rsidRPr="00616B9D">
              <w:rPr>
                <w:rFonts w:asciiTheme="majorBidi" w:hAnsiTheme="majorBidi" w:cstheme="majorBidi"/>
                <w:lang w:val="en-ID"/>
              </w:rPr>
              <w:t xml:space="preserve"> dkk (2016)</w:t>
            </w:r>
          </w:p>
        </w:tc>
        <w:tc>
          <w:tcPr>
            <w:tcW w:w="2091" w:type="dxa"/>
          </w:tcPr>
          <w:p w14:paraId="28BECA62" w14:textId="2E9BDB07" w:rsidR="007E7C14" w:rsidRPr="00616B9D" w:rsidRDefault="007E7C14" w:rsidP="007E7C14">
            <w:pPr>
              <w:snapToGrid w:val="0"/>
              <w:jc w:val="both"/>
              <w:rPr>
                <w:rFonts w:asciiTheme="majorBidi" w:hAnsiTheme="majorBidi" w:cstheme="majorBidi"/>
                <w:lang w:val="en-ID"/>
              </w:rPr>
            </w:pPr>
            <w:r w:rsidRPr="00616B9D">
              <w:rPr>
                <w:rFonts w:asciiTheme="majorBidi" w:hAnsiTheme="majorBidi" w:cstheme="majorBidi"/>
                <w:lang w:val="en-ID"/>
              </w:rPr>
              <w:t>Sistematika Review</w:t>
            </w:r>
          </w:p>
        </w:tc>
        <w:tc>
          <w:tcPr>
            <w:tcW w:w="5812" w:type="dxa"/>
          </w:tcPr>
          <w:p w14:paraId="3A66D82F" w14:textId="28EBD7A4" w:rsidR="007E7C14" w:rsidRPr="00616B9D" w:rsidRDefault="006B6D65" w:rsidP="007E7C14">
            <w:pPr>
              <w:snapToGrid w:val="0"/>
              <w:jc w:val="both"/>
              <w:rPr>
                <w:rFonts w:asciiTheme="majorBidi" w:hAnsiTheme="majorBidi" w:cstheme="majorBidi"/>
                <w:lang w:val="en-ID"/>
              </w:rPr>
            </w:pPr>
            <w:r w:rsidRPr="00616B9D">
              <w:rPr>
                <w:rFonts w:asciiTheme="majorBidi" w:hAnsiTheme="majorBidi" w:cstheme="majorBidi"/>
                <w:lang w:val="en-ID"/>
              </w:rPr>
              <w:t>Fenomena penolakan vaksin dikaitkan dengan peningkatan risiko campak di antara orang-orang yang menolak vaksin dan di antara individu yang divaksinasi penuh</w:t>
            </w:r>
            <w:r w:rsidRPr="00616B9D">
              <w:rPr>
                <w:rFonts w:asciiTheme="majorBidi" w:hAnsiTheme="majorBidi" w:cstheme="majorBidi"/>
                <w:lang w:val="en-ID"/>
              </w:rPr>
              <w:t>.</w:t>
            </w:r>
          </w:p>
        </w:tc>
      </w:tr>
      <w:tr w:rsidR="006B6D65" w:rsidRPr="003B5A55" w14:paraId="3A599738" w14:textId="77777777" w:rsidTr="00616B9D">
        <w:trPr>
          <w:trHeight w:val="76"/>
        </w:trPr>
        <w:tc>
          <w:tcPr>
            <w:tcW w:w="485" w:type="dxa"/>
          </w:tcPr>
          <w:p w14:paraId="561487B2" w14:textId="280A4BA0" w:rsidR="006B6D65" w:rsidRPr="00616B9D" w:rsidRDefault="00F4120C" w:rsidP="006B6D65">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27</w:t>
            </w:r>
          </w:p>
        </w:tc>
        <w:tc>
          <w:tcPr>
            <w:tcW w:w="3667" w:type="dxa"/>
          </w:tcPr>
          <w:p w14:paraId="6CA698B2" w14:textId="196671D3" w:rsidR="006B6D65" w:rsidRPr="00616B9D" w:rsidRDefault="006B6D65" w:rsidP="006B6D65">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What is the importance of vaccine hesitancy in the drop of vaccination coverage in Brazil?</w:t>
            </w:r>
          </w:p>
        </w:tc>
        <w:tc>
          <w:tcPr>
            <w:tcW w:w="1979" w:type="dxa"/>
          </w:tcPr>
          <w:p w14:paraId="4E3CC71F" w14:textId="04BF97C7" w:rsidR="006B6D65" w:rsidRPr="00616B9D" w:rsidRDefault="006B6D65" w:rsidP="006B6D65">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rPr>
              <w:t>Ana Paula Sayuri Sato</w:t>
            </w:r>
            <w:r w:rsidRPr="00616B9D">
              <w:rPr>
                <w:rFonts w:asciiTheme="majorBidi" w:hAnsiTheme="majorBidi" w:cstheme="majorBidi"/>
                <w:lang w:val="en-ID"/>
              </w:rPr>
              <w:t xml:space="preserve"> (2018)</w:t>
            </w:r>
          </w:p>
        </w:tc>
        <w:tc>
          <w:tcPr>
            <w:tcW w:w="2091" w:type="dxa"/>
          </w:tcPr>
          <w:p w14:paraId="0CAFBDD1" w14:textId="5067976D" w:rsidR="006B6D65" w:rsidRPr="00616B9D" w:rsidRDefault="006B6D65" w:rsidP="006B6D65">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4D11AE53" w14:textId="02D95D2C" w:rsidR="006B6D65" w:rsidRPr="00616B9D" w:rsidRDefault="006B6D65" w:rsidP="006B6D65">
            <w:pPr>
              <w:snapToGrid w:val="0"/>
              <w:jc w:val="both"/>
              <w:rPr>
                <w:rFonts w:asciiTheme="majorBidi" w:hAnsiTheme="majorBidi" w:cstheme="majorBidi"/>
                <w:lang w:val="en-ID"/>
              </w:rPr>
            </w:pPr>
            <w:r w:rsidRPr="00616B9D">
              <w:rPr>
                <w:rFonts w:asciiTheme="majorBidi" w:hAnsiTheme="majorBidi" w:cstheme="majorBidi"/>
                <w:lang w:val="en-ID"/>
              </w:rPr>
              <w:t>I</w:t>
            </w:r>
            <w:r w:rsidRPr="00616B9D">
              <w:rPr>
                <w:rFonts w:asciiTheme="majorBidi" w:hAnsiTheme="majorBidi" w:cstheme="majorBidi"/>
                <w:lang w:val="en-ID"/>
              </w:rPr>
              <w:t>ndividu yang ragu-ragu berada di antara dua kutub penerimaan total dan penolakan vaksinasi. Keragu-raguan terhadap vaksin bukanlah hal baru di negara-negara Eropa dan Amerika Utara, dan bahkan di Brasil</w:t>
            </w:r>
            <w:r w:rsidRPr="00616B9D">
              <w:rPr>
                <w:rFonts w:asciiTheme="majorBidi" w:hAnsiTheme="majorBidi" w:cstheme="majorBidi"/>
                <w:lang w:val="en-ID"/>
              </w:rPr>
              <w:t>.</w:t>
            </w:r>
          </w:p>
        </w:tc>
      </w:tr>
      <w:tr w:rsidR="00E60D9C" w:rsidRPr="003B5A55" w14:paraId="08A597F0" w14:textId="77777777" w:rsidTr="00616B9D">
        <w:trPr>
          <w:trHeight w:val="76"/>
        </w:trPr>
        <w:tc>
          <w:tcPr>
            <w:tcW w:w="485" w:type="dxa"/>
          </w:tcPr>
          <w:p w14:paraId="1A0B1CDB" w14:textId="6A83FFFD" w:rsidR="00E60D9C" w:rsidRPr="00616B9D" w:rsidRDefault="00F4120C" w:rsidP="00E60D9C">
            <w:pPr>
              <w:pStyle w:val="ListParagraph"/>
              <w:snapToGrid w:val="0"/>
              <w:spacing w:after="0" w:line="240" w:lineRule="auto"/>
              <w:ind w:left="0"/>
              <w:contextualSpacing w:val="0"/>
              <w:jc w:val="center"/>
              <w:rPr>
                <w:rFonts w:asciiTheme="majorBidi" w:hAnsiTheme="majorBidi" w:cstheme="majorBidi"/>
                <w:lang w:val="en-US"/>
              </w:rPr>
            </w:pPr>
            <w:r w:rsidRPr="00616B9D">
              <w:rPr>
                <w:rFonts w:asciiTheme="majorBidi" w:hAnsiTheme="majorBidi" w:cstheme="majorBidi"/>
                <w:lang w:val="en-US"/>
              </w:rPr>
              <w:t>28</w:t>
            </w:r>
          </w:p>
        </w:tc>
        <w:tc>
          <w:tcPr>
            <w:tcW w:w="3667" w:type="dxa"/>
          </w:tcPr>
          <w:p w14:paraId="375ECB69" w14:textId="3BECD01D" w:rsidR="00E60D9C" w:rsidRPr="00616B9D" w:rsidRDefault="00E60D9C" w:rsidP="00E60D9C">
            <w:pPr>
              <w:pStyle w:val="ListParagraph"/>
              <w:snapToGrid w:val="0"/>
              <w:spacing w:after="0" w:line="240" w:lineRule="auto"/>
              <w:ind w:left="0"/>
              <w:jc w:val="both"/>
              <w:rPr>
                <w:rFonts w:asciiTheme="majorBidi" w:hAnsiTheme="majorBidi" w:cstheme="majorBidi"/>
              </w:rPr>
            </w:pPr>
            <w:r w:rsidRPr="00616B9D">
              <w:rPr>
                <w:rFonts w:asciiTheme="majorBidi" w:hAnsiTheme="majorBidi" w:cstheme="majorBidi"/>
              </w:rPr>
              <w:t>Vaccination refusal. Autonomy and permitted coercion</w:t>
            </w:r>
          </w:p>
        </w:tc>
        <w:tc>
          <w:tcPr>
            <w:tcW w:w="1979" w:type="dxa"/>
          </w:tcPr>
          <w:p w14:paraId="4AAE4A6B" w14:textId="47A57359" w:rsidR="00E60D9C" w:rsidRPr="00616B9D" w:rsidRDefault="00E60D9C" w:rsidP="00E60D9C">
            <w:pPr>
              <w:pStyle w:val="ListParagraph"/>
              <w:tabs>
                <w:tab w:val="left" w:pos="854"/>
              </w:tabs>
              <w:snapToGrid w:val="0"/>
              <w:spacing w:after="0" w:line="240" w:lineRule="auto"/>
              <w:ind w:left="0"/>
              <w:contextualSpacing w:val="0"/>
              <w:rPr>
                <w:rFonts w:asciiTheme="majorBidi" w:hAnsiTheme="majorBidi" w:cstheme="majorBidi"/>
                <w:lang w:val="en-ID"/>
              </w:rPr>
            </w:pPr>
            <w:r w:rsidRPr="00616B9D">
              <w:rPr>
                <w:rFonts w:asciiTheme="majorBidi" w:hAnsiTheme="majorBidi" w:cstheme="majorBidi"/>
                <w:lang w:val="en-ID"/>
              </w:rPr>
              <w:t>Andrzej Grzybowski</w:t>
            </w:r>
            <w:r w:rsidRPr="00616B9D">
              <w:rPr>
                <w:rFonts w:asciiTheme="majorBidi" w:hAnsiTheme="majorBidi" w:cstheme="majorBidi"/>
                <w:lang w:val="en-ID"/>
              </w:rPr>
              <w:t xml:space="preserve"> dkk (2017)</w:t>
            </w:r>
          </w:p>
        </w:tc>
        <w:tc>
          <w:tcPr>
            <w:tcW w:w="2091" w:type="dxa"/>
          </w:tcPr>
          <w:p w14:paraId="1B69CB75" w14:textId="0B1AFEF7" w:rsidR="00E60D9C" w:rsidRPr="00616B9D" w:rsidRDefault="00E60D9C" w:rsidP="00E60D9C">
            <w:pPr>
              <w:snapToGrid w:val="0"/>
              <w:jc w:val="both"/>
              <w:rPr>
                <w:rFonts w:asciiTheme="majorBidi" w:hAnsiTheme="majorBidi" w:cstheme="majorBidi"/>
                <w:lang w:val="en-ID"/>
              </w:rPr>
            </w:pPr>
            <w:r w:rsidRPr="00616B9D">
              <w:rPr>
                <w:rFonts w:asciiTheme="majorBidi" w:hAnsiTheme="majorBidi" w:cstheme="majorBidi"/>
                <w:lang w:val="en-ID"/>
              </w:rPr>
              <w:t>Studi Pustaka</w:t>
            </w:r>
          </w:p>
        </w:tc>
        <w:tc>
          <w:tcPr>
            <w:tcW w:w="5812" w:type="dxa"/>
          </w:tcPr>
          <w:p w14:paraId="44AF0026" w14:textId="6770D764" w:rsidR="00E60D9C" w:rsidRPr="00616B9D" w:rsidRDefault="00E60D9C" w:rsidP="00E60D9C">
            <w:pPr>
              <w:snapToGrid w:val="0"/>
              <w:jc w:val="both"/>
              <w:rPr>
                <w:rFonts w:asciiTheme="majorBidi" w:hAnsiTheme="majorBidi" w:cstheme="majorBidi"/>
                <w:lang w:val="en-ID"/>
              </w:rPr>
            </w:pPr>
            <w:r w:rsidRPr="00616B9D">
              <w:rPr>
                <w:rFonts w:asciiTheme="majorBidi" w:hAnsiTheme="majorBidi" w:cstheme="majorBidi"/>
                <w:lang w:val="en-ID"/>
              </w:rPr>
              <w:t>S</w:t>
            </w:r>
            <w:r w:rsidRPr="00616B9D">
              <w:rPr>
                <w:rFonts w:asciiTheme="majorBidi" w:hAnsiTheme="majorBidi" w:cstheme="majorBidi"/>
                <w:lang w:val="en-ID"/>
              </w:rPr>
              <w:t>olusi hukum yang berkaitan dengan vaksinasi di Amerika Serikat dan Eropa yaitu keputusan administratif yang memaksakan vaksinasi</w:t>
            </w:r>
            <w:r w:rsidRPr="00616B9D">
              <w:rPr>
                <w:rFonts w:asciiTheme="majorBidi" w:hAnsiTheme="majorBidi" w:cstheme="majorBidi"/>
                <w:lang w:val="en-ID"/>
              </w:rPr>
              <w:t>.</w:t>
            </w:r>
          </w:p>
        </w:tc>
      </w:tr>
    </w:tbl>
    <w:p w14:paraId="237A2022" w14:textId="77777777" w:rsidR="00D62B24" w:rsidRPr="00D62B24" w:rsidRDefault="00D62B24" w:rsidP="00616B9D">
      <w:pPr>
        <w:rPr>
          <w:rFonts w:asciiTheme="majorBidi" w:hAnsiTheme="majorBidi" w:cstheme="majorBidi"/>
          <w:sz w:val="24"/>
          <w:szCs w:val="24"/>
        </w:rPr>
      </w:pPr>
    </w:p>
    <w:sectPr w:rsidR="00D62B24" w:rsidRPr="00D62B24" w:rsidSect="00D62B24">
      <w:pgSz w:w="16840" w:h="11907" w:orient="landscape"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031F"/>
    <w:rsid w:val="00057E74"/>
    <w:rsid w:val="00075F20"/>
    <w:rsid w:val="00092974"/>
    <w:rsid w:val="001C5F04"/>
    <w:rsid w:val="001E7DF3"/>
    <w:rsid w:val="0026201B"/>
    <w:rsid w:val="002E4C3D"/>
    <w:rsid w:val="003B5A55"/>
    <w:rsid w:val="0048031F"/>
    <w:rsid w:val="004D4524"/>
    <w:rsid w:val="00565D96"/>
    <w:rsid w:val="00577F87"/>
    <w:rsid w:val="00580491"/>
    <w:rsid w:val="00611A87"/>
    <w:rsid w:val="00616B9D"/>
    <w:rsid w:val="00630F98"/>
    <w:rsid w:val="00653A82"/>
    <w:rsid w:val="006659DD"/>
    <w:rsid w:val="006B6027"/>
    <w:rsid w:val="006B6D65"/>
    <w:rsid w:val="006F14FE"/>
    <w:rsid w:val="007C07A8"/>
    <w:rsid w:val="007E7C14"/>
    <w:rsid w:val="00946674"/>
    <w:rsid w:val="0098340F"/>
    <w:rsid w:val="0099075E"/>
    <w:rsid w:val="0099470F"/>
    <w:rsid w:val="009C7822"/>
    <w:rsid w:val="00A979AE"/>
    <w:rsid w:val="00B133F5"/>
    <w:rsid w:val="00BE23A1"/>
    <w:rsid w:val="00CA5161"/>
    <w:rsid w:val="00D62B24"/>
    <w:rsid w:val="00DD470B"/>
    <w:rsid w:val="00E60D9C"/>
    <w:rsid w:val="00E75D92"/>
    <w:rsid w:val="00EF6C7C"/>
    <w:rsid w:val="00F4120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9767"/>
  <w15:chartTrackingRefBased/>
  <w15:docId w15:val="{96ADDAB9-BF67-4C99-A997-D9BC5E4F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B5A55"/>
    <w:pPr>
      <w:spacing w:after="160" w:line="259" w:lineRule="auto"/>
      <w:ind w:left="720"/>
      <w:contextualSpacing/>
    </w:pPr>
    <w:rPr>
      <w:rFonts w:eastAsiaTheme="minorHAnsi"/>
      <w:lang w:val="id-ID" w:eastAsia="en-US"/>
    </w:rPr>
  </w:style>
  <w:style w:type="table" w:styleId="TableGrid">
    <w:name w:val="Table Grid"/>
    <w:basedOn w:val="TableNormal"/>
    <w:uiPriority w:val="59"/>
    <w:rsid w:val="003B5A55"/>
    <w:pPr>
      <w:spacing w:after="0" w:line="240" w:lineRule="auto"/>
    </w:pPr>
    <w:rPr>
      <w:rFonts w:eastAsiaTheme="minorHAnsi"/>
      <w:lang w:val="id-ID"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3B5A55"/>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66577AE-9CDD-4EED-9D9E-16073F21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Feni Sulistyawati</dc:creator>
  <cp:keywords/>
  <dc:description/>
  <cp:lastModifiedBy>Feni Sulistyawati</cp:lastModifiedBy>
  <cp:revision>5</cp:revision>
  <dcterms:created xsi:type="dcterms:W3CDTF">2021-12-29T09:22:00Z</dcterms:created>
  <dcterms:modified xsi:type="dcterms:W3CDTF">2021-12-29T13:49:00Z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