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ABC4" w14:textId="4AD4DC95" w:rsidR="00A07376" w:rsidRDefault="00A07376"/>
    <w:p w14:paraId="631F198E" w14:textId="10338F63" w:rsidR="00F60FF9" w:rsidRDefault="00F60FF9"/>
    <w:p w14:paraId="054643EF" w14:textId="77777777" w:rsidR="00F60FF9" w:rsidRDefault="00F60FF9" w:rsidP="00F60FF9">
      <w:pPr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Copyright Transfer Form</w:t>
      </w:r>
    </w:p>
    <w:p w14:paraId="73A8CF29" w14:textId="77777777" w:rsidR="00F60FF9" w:rsidRDefault="00F60FF9" w:rsidP="00F60FF9">
      <w:pPr>
        <w:jc w:val="center"/>
        <w:rPr>
          <w:rFonts w:asciiTheme="majorHAnsi" w:hAnsiTheme="majorHAnsi" w:cstheme="majorHAnsi"/>
          <w:b/>
          <w:lang w:val="en-US"/>
        </w:rPr>
      </w:pPr>
    </w:p>
    <w:p w14:paraId="688547B6" w14:textId="77777777" w:rsidR="004B2685" w:rsidRPr="000078D2" w:rsidRDefault="00F60FF9" w:rsidP="004B2685">
      <w:pPr>
        <w:jc w:val="center"/>
        <w:rPr>
          <w:rFonts w:ascii="Times New Roman" w:hAnsi="Times New Roman" w:cs="Times New Roman"/>
          <w:b/>
        </w:rPr>
      </w:pP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The authors hereby transfer all copyrights in and to the manuscript 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>titl</w:t>
      </w: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>ed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 “</w:t>
      </w:r>
      <w:r w:rsidR="004B2685" w:rsidRPr="000078D2">
        <w:rPr>
          <w:rFonts w:ascii="Times New Roman" w:hAnsi="Times New Roman" w:cs="Times New Roman"/>
          <w:b/>
        </w:rPr>
        <w:t xml:space="preserve">Outcome of cyclophosphamide treatment  in </w:t>
      </w:r>
      <w:proofErr w:type="spellStart"/>
      <w:r w:rsidR="004B2685" w:rsidRPr="000078D2">
        <w:rPr>
          <w:rFonts w:ascii="Times New Roman" w:hAnsi="Times New Roman" w:cs="Times New Roman"/>
          <w:b/>
        </w:rPr>
        <w:t>pediatric</w:t>
      </w:r>
      <w:proofErr w:type="spellEnd"/>
      <w:r w:rsidR="004B2685" w:rsidRPr="000078D2">
        <w:rPr>
          <w:rFonts w:ascii="Times New Roman" w:hAnsi="Times New Roman" w:cs="Times New Roman"/>
          <w:b/>
        </w:rPr>
        <w:t xml:space="preserve"> steroid</w:t>
      </w:r>
      <w:r w:rsidR="004B2685">
        <w:rPr>
          <w:rFonts w:ascii="Times New Roman" w:hAnsi="Times New Roman" w:cs="Times New Roman"/>
          <w:b/>
        </w:rPr>
        <w:t xml:space="preserve"> resistant</w:t>
      </w:r>
      <w:r w:rsidR="004B2685" w:rsidRPr="000078D2">
        <w:rPr>
          <w:rFonts w:ascii="Times New Roman" w:hAnsi="Times New Roman" w:cs="Times New Roman"/>
          <w:b/>
        </w:rPr>
        <w:t xml:space="preserve"> nephrotic syndrome in </w:t>
      </w:r>
      <w:r w:rsidR="004B2685">
        <w:rPr>
          <w:rFonts w:ascii="Times New Roman" w:hAnsi="Times New Roman" w:cs="Times New Roman"/>
          <w:b/>
        </w:rPr>
        <w:t>West Java, Indonesia</w:t>
      </w:r>
    </w:p>
    <w:p w14:paraId="2E203F99" w14:textId="500EF2CB" w:rsidR="00F60FF9" w:rsidRPr="00F60FF9" w:rsidRDefault="00F60FF9" w:rsidP="00F6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”</w:t>
      </w:r>
    </w:p>
    <w:p w14:paraId="2634930C" w14:textId="77777777" w:rsidR="00F60FF9" w:rsidRPr="00F60FF9" w:rsidRDefault="00F60FF9" w:rsidP="00F60FF9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한양신명조" w:hAnsiTheme="majorHAnsi" w:cstheme="majorHAnsi"/>
          <w:color w:val="000000"/>
          <w:sz w:val="20"/>
          <w:szCs w:val="20"/>
          <w:lang w:val="en-ID"/>
        </w:rPr>
      </w:pPr>
    </w:p>
    <w:p w14:paraId="49F9EB41" w14:textId="172B0C77" w:rsidR="00F60FF9" w:rsidRPr="00A06E41" w:rsidRDefault="00F60FF9" w:rsidP="00F60FF9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한양신명조" w:hAnsiTheme="majorHAnsi" w:cstheme="majorHAnsi"/>
          <w:color w:val="000000"/>
          <w:sz w:val="20"/>
          <w:szCs w:val="20"/>
        </w:rPr>
      </w:pP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in all forms and media, now or hereafter known, to 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>In</w:t>
      </w:r>
      <w:r w:rsidR="001838EA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donesian 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Journal </w:t>
      </w:r>
      <w:r w:rsidR="001838EA">
        <w:rPr>
          <w:rFonts w:asciiTheme="majorHAnsi" w:eastAsia="한양신명조" w:hAnsiTheme="majorHAnsi" w:cstheme="majorHAnsi"/>
          <w:color w:val="000000"/>
          <w:sz w:val="20"/>
          <w:szCs w:val="20"/>
        </w:rPr>
        <w:t>for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Health Science</w:t>
      </w:r>
      <w:r w:rsidR="001838EA">
        <w:rPr>
          <w:rFonts w:asciiTheme="majorHAnsi" w:eastAsia="한양신명조" w:hAnsiTheme="majorHAnsi" w:cstheme="majorHAnsi"/>
          <w:color w:val="000000"/>
          <w:sz w:val="20"/>
          <w:szCs w:val="20"/>
        </w:rPr>
        <w:t>s</w:t>
      </w:r>
      <w:bookmarkStart w:id="0" w:name="_GoBack"/>
      <w:bookmarkEnd w:id="0"/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</w:t>
      </w: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effective if and when the paper is accepted for publication in the</w:t>
      </w:r>
      <w:r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 journal</w:t>
      </w:r>
      <w:r w:rsidRPr="00A06E41">
        <w:rPr>
          <w:rFonts w:asciiTheme="majorHAnsi" w:eastAsia="한양신명조" w:hAnsiTheme="majorHAnsi" w:cstheme="majorHAnsi"/>
          <w:color w:val="000000"/>
          <w:sz w:val="20"/>
          <w:szCs w:val="20"/>
        </w:rPr>
        <w:t xml:space="preserve">. </w:t>
      </w:r>
      <w:r w:rsidRPr="00A06E41">
        <w:rPr>
          <w:rFonts w:asciiTheme="majorHAnsi" w:eastAsia="Batang" w:hAnsiTheme="majorHAnsi" w:cstheme="majorHAnsi"/>
          <w:color w:val="000000"/>
          <w:sz w:val="20"/>
          <w:szCs w:val="20"/>
        </w:rPr>
        <w:t>The authors reserve all proprietary right other than copyright, such as patent rights. </w:t>
      </w:r>
    </w:p>
    <w:p w14:paraId="13C309C9" w14:textId="77777777" w:rsidR="00F60FF9" w:rsidRPr="00A06E41" w:rsidRDefault="00F60FF9" w:rsidP="00F60FF9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Batang" w:hAnsiTheme="majorHAnsi" w:cstheme="majorHAnsi"/>
          <w:color w:val="000000"/>
          <w:sz w:val="20"/>
          <w:szCs w:val="20"/>
        </w:rPr>
      </w:pPr>
    </w:p>
    <w:p w14:paraId="3C5B3072" w14:textId="77777777" w:rsidR="00F60FF9" w:rsidRPr="00A06E41" w:rsidRDefault="00F60FF9" w:rsidP="00F60FF9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Batang" w:hAnsiTheme="majorHAnsi" w:cstheme="majorHAnsi"/>
          <w:color w:val="000000"/>
          <w:sz w:val="20"/>
          <w:szCs w:val="20"/>
        </w:rPr>
      </w:pPr>
      <w:r w:rsidRPr="00A06E41">
        <w:rPr>
          <w:rFonts w:asciiTheme="majorHAnsi" w:hAnsiTheme="majorHAnsi" w:cstheme="majorHAnsi"/>
          <w:color w:val="000000"/>
          <w:sz w:val="20"/>
          <w:szCs w:val="20"/>
        </w:rPr>
        <w:t>Everyone who is listed as an author in this article should have made a substantial, direct, intellectual contribution to the work and</w:t>
      </w:r>
      <w:r w:rsidRPr="00A06E41">
        <w:rPr>
          <w:rFonts w:asciiTheme="majorHAnsi" w:eastAsia="Batang" w:hAnsiTheme="majorHAnsi" w:cstheme="majorHAnsi"/>
          <w:color w:val="221E1F"/>
          <w:sz w:val="20"/>
          <w:szCs w:val="20"/>
        </w:rPr>
        <w:t xml:space="preserve"> should take public responsibility for it.</w:t>
      </w:r>
      <w:r w:rsidRPr="00A06E41">
        <w:rPr>
          <w:rFonts w:asciiTheme="majorHAnsi" w:eastAsia="Batang" w:hAnsiTheme="majorHAnsi" w:cstheme="majorHAnsi"/>
          <w:color w:val="000000"/>
          <w:sz w:val="20"/>
          <w:szCs w:val="20"/>
        </w:rPr>
        <w:t xml:space="preserve"> </w:t>
      </w:r>
    </w:p>
    <w:p w14:paraId="115E69BF" w14:textId="77777777" w:rsidR="00F60FF9" w:rsidRPr="00A06E41" w:rsidRDefault="00F60FF9" w:rsidP="00F60FF9">
      <w:pPr>
        <w:pStyle w:val="NormalWeb"/>
        <w:spacing w:before="0" w:beforeAutospacing="0" w:after="0" w:afterAutospacing="0" w:line="276" w:lineRule="auto"/>
        <w:jc w:val="both"/>
        <w:rPr>
          <w:rFonts w:asciiTheme="majorHAnsi" w:eastAsia="Batang" w:hAnsiTheme="majorHAnsi" w:cstheme="majorHAnsi"/>
          <w:color w:val="221E1F"/>
          <w:sz w:val="20"/>
          <w:szCs w:val="20"/>
        </w:rPr>
      </w:pPr>
    </w:p>
    <w:p w14:paraId="6E0B802D" w14:textId="77777777" w:rsidR="00F60FF9" w:rsidRDefault="00F60FF9" w:rsidP="00F60FF9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06E41">
        <w:rPr>
          <w:rFonts w:asciiTheme="majorHAnsi" w:eastAsia="Batang" w:hAnsiTheme="majorHAnsi" w:cstheme="majorHAnsi"/>
          <w:color w:val="000000"/>
          <w:sz w:val="20"/>
          <w:szCs w:val="20"/>
        </w:rPr>
        <w:t>Th</w:t>
      </w:r>
      <w:r w:rsidRPr="00A06E41">
        <w:rPr>
          <w:rFonts w:asciiTheme="majorHAnsi" w:hAnsiTheme="majorHAnsi" w:cstheme="majorHAnsi"/>
          <w:color w:val="000000"/>
          <w:sz w:val="20"/>
          <w:szCs w:val="20"/>
        </w:rPr>
        <w:t xml:space="preserve">is paper contains works that have </w:t>
      </w:r>
      <w:r w:rsidRPr="00A06E41">
        <w:rPr>
          <w:rFonts w:asciiTheme="majorHAnsi" w:hAnsiTheme="majorHAnsi" w:cstheme="majorHAnsi"/>
          <w:sz w:val="20"/>
          <w:szCs w:val="20"/>
        </w:rPr>
        <w:t xml:space="preserve">not previously published or not under consideration for publication in other journals. </w:t>
      </w:r>
    </w:p>
    <w:p w14:paraId="2510818A" w14:textId="7DA01C77" w:rsidR="00F60FF9" w:rsidRDefault="00F60F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F60FF9" w14:paraId="663C4E32" w14:textId="77777777" w:rsidTr="00240551">
        <w:tc>
          <w:tcPr>
            <w:tcW w:w="2252" w:type="dxa"/>
          </w:tcPr>
          <w:p w14:paraId="4498ADC3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Corresponding author</w:t>
            </w:r>
          </w:p>
        </w:tc>
        <w:tc>
          <w:tcPr>
            <w:tcW w:w="2252" w:type="dxa"/>
            <w:vMerge w:val="restart"/>
          </w:tcPr>
          <w:p w14:paraId="304EF74C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71E6D7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Ahmedz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Widiasta</w:t>
            </w:r>
            <w:proofErr w:type="spellEnd"/>
          </w:p>
        </w:tc>
        <w:tc>
          <w:tcPr>
            <w:tcW w:w="2253" w:type="dxa"/>
            <w:vMerge w:val="restart"/>
          </w:tcPr>
          <w:p w14:paraId="0CB1A3D8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825C1">
              <w:rPr>
                <w:rFonts w:ascii="Times New Roman" w:eastAsia="신명 신문명조" w:hAnsi="Times New Roman" w:cs="Times New Roman"/>
                <w:noProof/>
                <w:color w:val="000000"/>
                <w:sz w:val="20"/>
                <w:szCs w:val="20"/>
                <w:lang w:val="id-ID"/>
              </w:rPr>
              <w:drawing>
                <wp:inline distT="0" distB="0" distL="0" distR="0" wp14:anchorId="01F86645" wp14:editId="317810E7">
                  <wp:extent cx="786765" cy="580390"/>
                  <wp:effectExtent l="0" t="0" r="0" b="0"/>
                  <wp:docPr id="3" name="Picture 1" descr="ttd Ahmedz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d Ahmedz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vMerge w:val="restart"/>
          </w:tcPr>
          <w:p w14:paraId="15E751DD" w14:textId="25509B96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E473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E4734">
              <w:rPr>
                <w:rFonts w:asciiTheme="majorHAnsi" w:hAnsiTheme="majorHAnsi" w:cstheme="majorHAnsi"/>
                <w:sz w:val="20"/>
                <w:szCs w:val="20"/>
              </w:rPr>
              <w:t>Dec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ember 2023</w:t>
            </w:r>
          </w:p>
        </w:tc>
      </w:tr>
      <w:tr w:rsidR="00F60FF9" w14:paraId="2F12DA14" w14:textId="77777777" w:rsidTr="00240551">
        <w:tc>
          <w:tcPr>
            <w:tcW w:w="2252" w:type="dxa"/>
          </w:tcPr>
          <w:p w14:paraId="3290B5DF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Author 1</w:t>
            </w:r>
          </w:p>
        </w:tc>
        <w:tc>
          <w:tcPr>
            <w:tcW w:w="2252" w:type="dxa"/>
            <w:vMerge/>
          </w:tcPr>
          <w:p w14:paraId="749E0074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6C84572D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2C114F10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60FF9" w14:paraId="6F4D5082" w14:textId="77777777" w:rsidTr="00240551">
        <w:tc>
          <w:tcPr>
            <w:tcW w:w="2252" w:type="dxa"/>
          </w:tcPr>
          <w:p w14:paraId="0144ECC3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Author 2</w:t>
            </w:r>
          </w:p>
        </w:tc>
        <w:tc>
          <w:tcPr>
            <w:tcW w:w="2252" w:type="dxa"/>
          </w:tcPr>
          <w:p w14:paraId="4C3BB0DB" w14:textId="727B25FF" w:rsidR="00F60FF9" w:rsidRDefault="001E4734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Dany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Hilmanto</w:t>
            </w:r>
            <w:proofErr w:type="spellEnd"/>
          </w:p>
        </w:tc>
        <w:tc>
          <w:tcPr>
            <w:tcW w:w="2253" w:type="dxa"/>
          </w:tcPr>
          <w:p w14:paraId="28FCAE5B" w14:textId="329A3A9F" w:rsidR="00F60FF9" w:rsidRDefault="001E4734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825C1">
              <w:rPr>
                <w:rFonts w:ascii="Times New Roman" w:eastAsia="한양신명조" w:hAnsi="Times New Roman" w:cs="Times New Roman" w:hint="eastAsia"/>
                <w:noProof/>
                <w:color w:val="000000"/>
                <w:sz w:val="20"/>
                <w:szCs w:val="20"/>
                <w:lang w:val="id-ID"/>
              </w:rPr>
              <w:drawing>
                <wp:inline distT="0" distB="0" distL="0" distR="0" wp14:anchorId="61C7BEED" wp14:editId="46F469C8">
                  <wp:extent cx="767080" cy="412750"/>
                  <wp:effectExtent l="0" t="0" r="0" b="0"/>
                  <wp:docPr id="4" name="Picture 4" descr="Tanda tangan Prof Dan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nda tangan Prof Dany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00B9B47A" w14:textId="1DF19CDD" w:rsidR="00F60FF9" w:rsidRDefault="001E4734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F60F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December</w:t>
            </w:r>
            <w:r w:rsidR="00F60FF9">
              <w:rPr>
                <w:rFonts w:asciiTheme="majorHAnsi" w:hAnsiTheme="majorHAnsi" w:cstheme="majorHAnsi"/>
                <w:sz w:val="20"/>
                <w:szCs w:val="20"/>
              </w:rPr>
              <w:t xml:space="preserve"> 2023</w:t>
            </w:r>
          </w:p>
        </w:tc>
      </w:tr>
      <w:tr w:rsidR="00F60FF9" w14:paraId="6D7022EA" w14:textId="77777777" w:rsidTr="00240551">
        <w:tc>
          <w:tcPr>
            <w:tcW w:w="2252" w:type="dxa"/>
          </w:tcPr>
          <w:p w14:paraId="0416812B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Author 3</w:t>
            </w:r>
          </w:p>
        </w:tc>
        <w:tc>
          <w:tcPr>
            <w:tcW w:w="2252" w:type="dxa"/>
          </w:tcPr>
          <w:p w14:paraId="6E6609E3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Dedi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Rachmadi</w:t>
            </w:r>
            <w:proofErr w:type="spellEnd"/>
          </w:p>
        </w:tc>
        <w:tc>
          <w:tcPr>
            <w:tcW w:w="2253" w:type="dxa"/>
          </w:tcPr>
          <w:p w14:paraId="5B963D4D" w14:textId="77777777" w:rsidR="00F60FF9" w:rsidRDefault="00F60FF9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825C1">
              <w:rPr>
                <w:rFonts w:ascii="Times New Roman" w:eastAsia="한양신명조" w:hAnsi="Times New Roman" w:cs="Times New Roman" w:hint="eastAsia"/>
                <w:noProof/>
                <w:color w:val="000000"/>
                <w:sz w:val="20"/>
                <w:szCs w:val="20"/>
                <w:lang w:val="id-ID"/>
              </w:rPr>
              <w:drawing>
                <wp:inline distT="0" distB="0" distL="0" distR="0" wp14:anchorId="124DD1EF" wp14:editId="4E7B720C">
                  <wp:extent cx="1287780" cy="501650"/>
                  <wp:effectExtent l="0" t="0" r="0" b="0"/>
                  <wp:docPr id="6" name="Picture 6" descr="TTD Prof Ded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TD Prof Dedi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2DBAAC48" w14:textId="7F140BDF" w:rsidR="00F60FF9" w:rsidRDefault="001E4734" w:rsidP="0024055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60F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Dec</w:t>
            </w:r>
            <w:r w:rsidR="00F60FF9">
              <w:rPr>
                <w:rFonts w:asciiTheme="majorHAnsi" w:hAnsiTheme="majorHAnsi" w:cstheme="majorHAnsi"/>
                <w:sz w:val="20"/>
                <w:szCs w:val="20"/>
              </w:rPr>
              <w:t>ember 2023</w:t>
            </w:r>
          </w:p>
        </w:tc>
      </w:tr>
    </w:tbl>
    <w:p w14:paraId="0271034F" w14:textId="77777777" w:rsidR="00F60FF9" w:rsidRPr="00F60FF9" w:rsidRDefault="00F60FF9">
      <w:pPr>
        <w:rPr>
          <w:lang w:val="en-US"/>
        </w:rPr>
      </w:pPr>
    </w:p>
    <w:sectPr w:rsidR="00F60FF9" w:rsidRPr="00F60FF9" w:rsidSect="00426B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F9"/>
    <w:rsid w:val="001838EA"/>
    <w:rsid w:val="001E4734"/>
    <w:rsid w:val="00426B97"/>
    <w:rsid w:val="004B2685"/>
    <w:rsid w:val="00A07376"/>
    <w:rsid w:val="00F6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1A0935"/>
  <w15:chartTrackingRefBased/>
  <w15:docId w15:val="{EA4FA59B-2E6F-174D-8081-2D194B89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F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0FF9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table" w:styleId="TableGrid">
    <w:name w:val="Table Grid"/>
    <w:basedOn w:val="TableNormal"/>
    <w:uiPriority w:val="39"/>
    <w:rsid w:val="00F60FF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2023-12-05T13:40:00Z</dcterms:created>
  <dcterms:modified xsi:type="dcterms:W3CDTF">2023-12-06T10:48:00Z</dcterms:modified>
</cp:coreProperties>
</file>